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7" w:rsidRPr="00274677" w:rsidRDefault="00274677" w:rsidP="00274677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677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 СПЕЦИФИКАЦИИ</w:t>
      </w:r>
    </w:p>
    <w:p w:rsidR="00274677" w:rsidRPr="00274677" w:rsidRDefault="00274677" w:rsidP="0027467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4677" w:rsidRPr="00274677" w:rsidRDefault="00274677" w:rsidP="0027467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74677">
        <w:rPr>
          <w:rFonts w:ascii="Times New Roman" w:eastAsia="Batang" w:hAnsi="Times New Roman" w:cs="Times New Roman"/>
          <w:b/>
          <w:bCs/>
          <w:sz w:val="24"/>
          <w:szCs w:val="24"/>
        </w:rPr>
        <w:t>1. МИНИМАЛНИ ТЕХНИЧЕСКИ ИЗИСКВАНИЯ И КОЛИЧЕСТВА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276"/>
        <w:gridCol w:w="851"/>
        <w:gridCol w:w="709"/>
        <w:gridCol w:w="1133"/>
        <w:gridCol w:w="993"/>
        <w:gridCol w:w="2835"/>
      </w:tblGrid>
      <w:tr w:rsidR="00274677" w:rsidRPr="00274677" w:rsidTr="00626E21">
        <w:trPr>
          <w:trHeight w:val="912"/>
        </w:trPr>
        <w:tc>
          <w:tcPr>
            <w:tcW w:w="993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Заболяване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по ред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АТС код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Международно непатентно 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ind w:left="-12" w:right="-108" w:hanging="9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Лекарствена форма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Мярка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Максимална стойност по чл.7 на Наредба № 34/2005г.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Количество до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74677" w:rsidRPr="00274677" w:rsidRDefault="00274677" w:rsidP="0027467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МКБ код</w:t>
            </w:r>
          </w:p>
        </w:tc>
      </w:tr>
      <w:tr w:rsidR="00274677" w:rsidRPr="00274677" w:rsidTr="00626E21">
        <w:trPr>
          <w:trHeight w:val="6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СПИН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J05AX08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RALTEGRAVIR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перорална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mg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0,047373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 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560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B20.0,B20.1,B20.2,B20.3,B20.4,B20.5,B20.6,B20.7,B20.8,B20.9,B21.0,B21.2,B21.3,B21.7,B21.8,B21.9,B22.0,B22.1,B22.2,B22.7,B23.0,B23.1,B23.2,B23.8,B24,Z21</w:t>
            </w:r>
          </w:p>
        </w:tc>
      </w:tr>
      <w:tr w:rsidR="00274677" w:rsidRPr="00274677" w:rsidTr="00626E21">
        <w:trPr>
          <w:trHeight w:val="696"/>
        </w:trPr>
        <w:tc>
          <w:tcPr>
            <w:tcW w:w="993" w:type="dxa"/>
            <w:vMerge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J05AG03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EFAVIRENZ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перорална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mg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15 336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B20.0,B20.1,B20.2,B20.3,B20.4,B20.5,B20.6,B20.7,B20.8,B20.9,B21.0,B21.2,B21.3,B21.7,B21.8,B21.9,B22.0,B22.1,B22.2,B22.7,B23.0,B23.1,B23.2,B23.8,B24,Z21</w:t>
            </w:r>
          </w:p>
        </w:tc>
      </w:tr>
      <w:tr w:rsidR="00274677" w:rsidRPr="00274677" w:rsidTr="00626E21">
        <w:trPr>
          <w:trHeight w:val="691"/>
        </w:trPr>
        <w:tc>
          <w:tcPr>
            <w:tcW w:w="993" w:type="dxa"/>
            <w:vMerge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J05AR17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Emtricitabine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Tenofovir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alafenamide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200/10mg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перорална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tabl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14,107333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123 480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B20.0,B20.1,B20.2,B20.3,B20.4,B20.5,B20.6,B20.7,B20.8,B20.9,B21.0,B21.2,B21.3,B21.7,B21.8,B21.9,B22.0,B22.1,B22.2,B22.7,B23.0,B23.1,B23.2,B23.8,B24,Z21</w:t>
            </w:r>
          </w:p>
        </w:tc>
      </w:tr>
      <w:tr w:rsidR="00274677" w:rsidRPr="00274677" w:rsidTr="00626E21">
        <w:trPr>
          <w:trHeight w:val="635"/>
        </w:trPr>
        <w:tc>
          <w:tcPr>
            <w:tcW w:w="993" w:type="dxa"/>
            <w:vMerge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J05AR17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Emtricitabine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Tenofovir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alafenamide200/25mg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перорална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tabl</w:t>
            </w:r>
            <w:proofErr w:type="spellEnd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14,107333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86 400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</w:rPr>
              <w:t>B20.0,B20.1,B20.2,B20.3,B20.4,B20.5,B20.6,B20.7,B20.8,B20.9,B21.0,B21.2,B21.3,B21.7,B21.8,B21.9,B22.0,B22.1,B22.2,B22.7,B23.0,B23.1,B23.2,B23.8,B24,Z21</w:t>
            </w:r>
          </w:p>
        </w:tc>
      </w:tr>
      <w:tr w:rsidR="00274677" w:rsidRPr="00274677" w:rsidTr="00626E21">
        <w:trPr>
          <w:trHeight w:val="1071"/>
        </w:trPr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bg-BG"/>
              </w:rPr>
              <w:t>Туберкулоза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J04AK01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PYRAZINAMIDE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перорална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mg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0,000354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2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  <w:t>45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 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  <w:t>7</w:t>
            </w:r>
            <w:r w:rsidRPr="002746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77" w:rsidRPr="00274677" w:rsidRDefault="00274677" w:rsidP="002746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274677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A15,A15.0,A15.1,A15.2,A15.3,A15.5,A15.6,A15.7,A15.8,A15.9,A16.0,A16.1,A16.2,A16.3,A16.4,A16.5,A16.7,A16.8,A16.9,A17.0,A17.1,A17.8,A17.9,A18.0,A18.1,A18.2,A18.3,A18.4,A18.5,A18.6,A18.7,A18.8,A19.0,A19.1,A19.2,A19.8,A19.9,B90.0,B90.1,B90.2,B90.8,B90.9</w:t>
            </w:r>
          </w:p>
        </w:tc>
      </w:tr>
    </w:tbl>
    <w:p w:rsidR="00274677" w:rsidRPr="00274677" w:rsidRDefault="00274677" w:rsidP="0027467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0"/>
        </w:rPr>
      </w:pPr>
      <w:r w:rsidRPr="00274677">
        <w:rPr>
          <w:rFonts w:ascii="Times New Roman" w:eastAsia="Batang" w:hAnsi="Times New Roman" w:cs="Times New Roman"/>
          <w:b/>
          <w:sz w:val="24"/>
          <w:szCs w:val="20"/>
        </w:rPr>
        <w:t>2. ОБЩИ ИЗИСКВАНИЯ КЪМ ЛЕКАРСТВЕНИТЕ ПРОДУКТИ</w:t>
      </w:r>
      <w:r w:rsidRPr="00274677">
        <w:rPr>
          <w:rFonts w:ascii="Times New Roman" w:eastAsia="Batang" w:hAnsi="Times New Roman" w:cs="Times New Roman"/>
          <w:b/>
          <w:sz w:val="24"/>
          <w:szCs w:val="20"/>
          <w:lang w:val="en-US"/>
        </w:rPr>
        <w:t xml:space="preserve"> </w:t>
      </w:r>
      <w:r w:rsidRPr="00274677">
        <w:rPr>
          <w:rFonts w:ascii="Times New Roman" w:eastAsia="Batang" w:hAnsi="Times New Roman" w:cs="Times New Roman"/>
          <w:b/>
          <w:sz w:val="24"/>
          <w:szCs w:val="20"/>
        </w:rPr>
        <w:t xml:space="preserve">ЗА ВСИЧКИ ОБОСОБЕНИ ПОЗИЦИИ.  </w:t>
      </w: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0"/>
        </w:rPr>
      </w:pPr>
      <w:r w:rsidRPr="00274677">
        <w:rPr>
          <w:rFonts w:ascii="Times New Roman" w:eastAsia="Batang" w:hAnsi="Times New Roman" w:cs="Times New Roman"/>
          <w:b/>
          <w:sz w:val="24"/>
          <w:szCs w:val="20"/>
        </w:rPr>
        <w:t xml:space="preserve">2.1. </w:t>
      </w:r>
      <w:r w:rsidRPr="00274677">
        <w:rPr>
          <w:rFonts w:ascii="Times New Roman" w:eastAsia="Calibri" w:hAnsi="Times New Roman" w:cs="Times New Roman"/>
          <w:sz w:val="24"/>
          <w:szCs w:val="24"/>
        </w:rPr>
        <w:t>Лекарствените продукти трябва да отговарят на изискванията на ЗЛПХМ</w:t>
      </w:r>
      <w:r w:rsidRPr="002746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74677">
        <w:rPr>
          <w:rFonts w:ascii="Times New Roman" w:eastAsia="Calibri" w:hAnsi="Times New Roman" w:cs="Times New Roman"/>
          <w:sz w:val="24"/>
          <w:szCs w:val="24"/>
        </w:rPr>
        <w:t xml:space="preserve">– трябва да притежават валидно разрешение за употреба в страната, издадено по реда на ЗЛПХМ или Регламент </w:t>
      </w:r>
      <w:r w:rsidRPr="0027467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274677">
        <w:rPr>
          <w:rFonts w:ascii="Times New Roman" w:eastAsia="Calibri" w:hAnsi="Times New Roman" w:cs="Times New Roman"/>
          <w:sz w:val="24"/>
          <w:szCs w:val="24"/>
          <w:lang w:val="en-US"/>
        </w:rPr>
        <w:t>EO</w:t>
      </w:r>
      <w:r w:rsidRPr="002746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274677">
        <w:rPr>
          <w:rFonts w:ascii="Times New Roman" w:eastAsia="Calibri" w:hAnsi="Times New Roman" w:cs="Times New Roman"/>
          <w:sz w:val="24"/>
          <w:szCs w:val="24"/>
        </w:rPr>
        <w:t>№ 726/2004 г. на Европейския парламент и Съвета (чл. 23, ал.1 на ЗЛПХМ). В случай на изтичане на срока на разрешението за употреба на лекарствен продукт през 2018 г., участникът декларира в съответствие с чл. 55, ал. 6 от ЗЛПХМ, че количествата за лекарствения продукт са налични</w:t>
      </w:r>
      <w:r w:rsidRPr="002746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0"/>
        </w:rPr>
      </w:pPr>
      <w:r w:rsidRPr="00274677">
        <w:rPr>
          <w:rFonts w:ascii="Times New Roman" w:eastAsia="Batang" w:hAnsi="Times New Roman" w:cs="Times New Roman"/>
          <w:b/>
          <w:sz w:val="24"/>
          <w:szCs w:val="20"/>
        </w:rPr>
        <w:t xml:space="preserve">2.2. </w:t>
      </w:r>
      <w:r w:rsidRPr="00274677">
        <w:rPr>
          <w:rFonts w:ascii="Times New Roman" w:eastAsia="Calibri" w:hAnsi="Times New Roman" w:cs="Times New Roman"/>
          <w:sz w:val="24"/>
          <w:szCs w:val="24"/>
        </w:rPr>
        <w:t xml:space="preserve">Цената по договора е фиксирана и не подлежи на промяна за срока на действие на договора, освен в случаите на чл. 116 от ЗОП. </w:t>
      </w: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0"/>
        </w:rPr>
      </w:pPr>
      <w:r w:rsidRPr="00274677">
        <w:rPr>
          <w:rFonts w:ascii="Times New Roman" w:eastAsia="Batang" w:hAnsi="Times New Roman" w:cs="Times New Roman"/>
          <w:b/>
          <w:sz w:val="24"/>
          <w:szCs w:val="20"/>
        </w:rPr>
        <w:t xml:space="preserve">2.3. </w:t>
      </w:r>
      <w:r w:rsidRPr="00274677">
        <w:rPr>
          <w:rFonts w:ascii="Times New Roman" w:eastAsia="Calibri" w:hAnsi="Times New Roman" w:cs="Times New Roman"/>
          <w:sz w:val="24"/>
          <w:szCs w:val="24"/>
        </w:rPr>
        <w:t xml:space="preserve">В случай, че през времето на действие на договора стойността, която следва да се заплаща с публични средства на лекарствени продукти от Позитивния лекарствен списък стане по-ниска от договорената, възложителят безусловно заплаща лекарствените продукти на по-ниската цена, считано от датата на обявяването на влезлите в сила решения по реда на чл. 18 от Наредбата за условията, правилата и реда за регулиране и регистриране на цените на лекарствените продукти. </w:t>
      </w:r>
      <w:r w:rsidRPr="00274677">
        <w:rPr>
          <w:rFonts w:ascii="Times New Roman" w:eastAsia="Calibri" w:hAnsi="Times New Roman" w:cs="Times New Roman"/>
          <w:bCs/>
          <w:sz w:val="24"/>
          <w:szCs w:val="24"/>
        </w:rPr>
        <w:t>В случаите по предходното изречение, стойността се определя към момента на доставката (подписване на приемо-предавателен протокол)</w:t>
      </w:r>
      <w:r w:rsidRPr="002746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77">
        <w:rPr>
          <w:rFonts w:ascii="Times New Roman" w:eastAsia="Batang" w:hAnsi="Times New Roman" w:cs="Times New Roman"/>
          <w:b/>
          <w:sz w:val="24"/>
          <w:szCs w:val="20"/>
        </w:rPr>
        <w:t xml:space="preserve">2.4.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Лекарствените продукти следва да бъдат включени в Приложение 3 на Позитивния лекарствен списък, актуално към датата на подаване на предложението.</w:t>
      </w:r>
    </w:p>
    <w:p w:rsidR="00274677" w:rsidRPr="00274677" w:rsidRDefault="00274677" w:rsidP="0027467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D70" w:rsidRDefault="00031D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4677" w:rsidRPr="00274677" w:rsidRDefault="00274677" w:rsidP="00274677">
      <w:pPr>
        <w:autoSpaceDE w:val="0"/>
        <w:autoSpaceDN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t>СРОК НА ГОДНОСТ НА ЛЕКАРСТВЕНИТЕ ПРОДУКТИ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677" w:rsidRPr="00274677" w:rsidRDefault="00274677" w:rsidP="00274677">
      <w:pPr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Минимален срок на годност –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Срокът на годност на предлаганите лекарствени продукти следва да бъде не по-кратък от 60 (шестдесет) на сто от обявения от производителя към датата на всяка доставка, предоставена на крайните получатели (съответните лечебни заведения).</w:t>
      </w:r>
    </w:p>
    <w:p w:rsidR="00274677" w:rsidRPr="00274677" w:rsidRDefault="00274677" w:rsidP="00274677">
      <w:pPr>
        <w:tabs>
          <w:tab w:val="num" w:pos="1440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В случай на доставка на лекарствения продукт с по-кратък от договорения срок на годност, </w:t>
      </w:r>
      <w:r w:rsidRPr="00274677"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 w:rsidRPr="0027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дължи неустойка, както следва:</w:t>
      </w:r>
    </w:p>
    <w:p w:rsidR="00274677" w:rsidRPr="00274677" w:rsidRDefault="00274677" w:rsidP="00274677">
      <w:pPr>
        <w:tabs>
          <w:tab w:val="left" w:pos="1418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677">
        <w:rPr>
          <w:rFonts w:ascii="Times New Roman" w:eastAsia="Times New Roman" w:hAnsi="Times New Roman" w:cs="Times New Roman"/>
          <w:sz w:val="24"/>
          <w:szCs w:val="24"/>
        </w:rPr>
        <w:tab/>
        <w:t>от 59,99% до 50% - 20 % върху стойността на доставката;</w:t>
      </w:r>
      <w:r w:rsidRPr="002746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74677" w:rsidRPr="00274677" w:rsidRDefault="00274677" w:rsidP="00274677">
      <w:pPr>
        <w:tabs>
          <w:tab w:val="left" w:pos="1418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sz w:val="24"/>
          <w:szCs w:val="24"/>
        </w:rPr>
        <w:tab/>
        <w:t>от 49,99% до 40% - 30 % върху стойността на доставката;</w:t>
      </w:r>
    </w:p>
    <w:p w:rsidR="00274677" w:rsidRPr="00274677" w:rsidRDefault="00274677" w:rsidP="00274677">
      <w:pPr>
        <w:tabs>
          <w:tab w:val="left" w:pos="1418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sz w:val="24"/>
          <w:szCs w:val="24"/>
        </w:rPr>
        <w:tab/>
        <w:t>от 39,99% до 30% - 60 % върху стойността на доставката;</w:t>
      </w:r>
    </w:p>
    <w:p w:rsidR="00274677" w:rsidRPr="00274677" w:rsidRDefault="00274677" w:rsidP="00274677">
      <w:pPr>
        <w:tabs>
          <w:tab w:val="left" w:pos="1418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sz w:val="24"/>
          <w:szCs w:val="24"/>
        </w:rPr>
        <w:tab/>
        <w:t>от 29,99% до 20% - 75 % върху стойността на доставката;</w:t>
      </w:r>
    </w:p>
    <w:p w:rsidR="00274677" w:rsidRPr="00274677" w:rsidRDefault="00274677" w:rsidP="00274677">
      <w:pPr>
        <w:tabs>
          <w:tab w:val="left" w:pos="1418"/>
        </w:tabs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sz w:val="24"/>
          <w:szCs w:val="24"/>
        </w:rPr>
        <w:tab/>
        <w:t>под 20% - 90 % върху стойността на доставката.</w:t>
      </w:r>
      <w:r w:rsidRPr="0027467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74677" w:rsidRPr="00274677" w:rsidRDefault="00274677" w:rsidP="00274677">
      <w:pPr>
        <w:autoSpaceDE w:val="0"/>
        <w:autoSpaceDN w:val="0"/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77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Доставката на лекарствен продукт с остатъчен срок на годност по-малък от 30 на сто от обявения от производителя се извършва само с писмено съгласие на</w:t>
      </w:r>
      <w:r w:rsidRPr="0027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bCs/>
          <w:sz w:val="24"/>
          <w:szCs w:val="24"/>
        </w:rPr>
        <w:t>възложителя</w:t>
      </w:r>
      <w:r w:rsidRPr="0027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за конкретно количество</w:t>
      </w:r>
      <w:r w:rsidRPr="002746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определено от него</w:t>
      </w:r>
      <w:r w:rsidRPr="0027467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 xml:space="preserve"> Без изрично писмено съгласие на </w:t>
      </w:r>
      <w:r w:rsidRPr="00274677">
        <w:rPr>
          <w:rFonts w:ascii="Times New Roman" w:eastAsia="Times New Roman" w:hAnsi="Times New Roman" w:cs="Times New Roman"/>
          <w:bCs/>
          <w:sz w:val="24"/>
          <w:szCs w:val="24"/>
        </w:rPr>
        <w:t>възложителя</w:t>
      </w:r>
      <w:r w:rsidRPr="0027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677">
        <w:rPr>
          <w:rFonts w:ascii="Times New Roman" w:eastAsia="Times New Roman" w:hAnsi="Times New Roman" w:cs="Times New Roman"/>
          <w:sz w:val="24"/>
          <w:szCs w:val="24"/>
        </w:rPr>
        <w:t>стоките няма да бъдат заплащани. Искането за писмено съгласие следва да постъпи в деловодството на възложителя в срок до 3 (три) дни от получаване на заявката-разпределение.</w:t>
      </w:r>
    </w:p>
    <w:p w:rsidR="00274677" w:rsidRPr="00274677" w:rsidRDefault="00274677" w:rsidP="0027467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77">
        <w:rPr>
          <w:rFonts w:ascii="Times New Roman" w:eastAsia="Calibri" w:hAnsi="Times New Roman" w:cs="Times New Roman"/>
          <w:sz w:val="24"/>
          <w:szCs w:val="24"/>
        </w:rPr>
        <w:tab/>
      </w:r>
      <w:r w:rsidRPr="00274677"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274677">
        <w:rPr>
          <w:rFonts w:ascii="Times New Roman" w:eastAsia="Calibri" w:hAnsi="Times New Roman" w:cs="Times New Roman"/>
          <w:sz w:val="24"/>
          <w:szCs w:val="24"/>
        </w:rPr>
        <w:t xml:space="preserve"> Възложителят може да откаже приемането на стоките, ако в деня на тяхното пристигане или приемане остатъчния срок на годност е по – малък от определения в т.3.1. минимален срок на годност.</w:t>
      </w:r>
    </w:p>
    <w:p w:rsidR="00274677" w:rsidRPr="00274677" w:rsidRDefault="00274677" w:rsidP="0027467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77">
        <w:rPr>
          <w:rFonts w:ascii="Times New Roman" w:eastAsia="Calibri" w:hAnsi="Times New Roman" w:cs="Times New Roman"/>
          <w:sz w:val="24"/>
          <w:szCs w:val="24"/>
        </w:rPr>
        <w:tab/>
      </w:r>
      <w:r w:rsidRPr="00274677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274677">
        <w:rPr>
          <w:rFonts w:ascii="Times New Roman" w:eastAsia="Calibri" w:hAnsi="Times New Roman" w:cs="Times New Roman"/>
          <w:sz w:val="24"/>
          <w:szCs w:val="24"/>
        </w:rPr>
        <w:t xml:space="preserve"> В случай на безплатно доставяне на някои от стоките по договора, съгласно договореното с изпълнителя, същите следва да отговарят на посочените от възложителя изисквания относно срок на годност и срок на доставка, в съответствие с т.3.1. </w:t>
      </w:r>
    </w:p>
    <w:p w:rsidR="007B4788" w:rsidRDefault="007B4788"/>
    <w:sectPr w:rsidR="007B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A"/>
    <w:rsid w:val="00031D70"/>
    <w:rsid w:val="00274677"/>
    <w:rsid w:val="007B4788"/>
    <w:rsid w:val="009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A4C4"/>
  <w15:chartTrackingRefBased/>
  <w15:docId w15:val="{86C33A57-9577-4302-AE76-2859904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3</cp:revision>
  <dcterms:created xsi:type="dcterms:W3CDTF">2018-05-04T08:22:00Z</dcterms:created>
  <dcterms:modified xsi:type="dcterms:W3CDTF">2018-05-04T08:23:00Z</dcterms:modified>
</cp:coreProperties>
</file>