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56" w:rsidRPr="006B7156" w:rsidRDefault="006B7156" w:rsidP="006B7156">
      <w:pPr>
        <w:tabs>
          <w:tab w:val="left" w:pos="5505"/>
        </w:tabs>
        <w:rPr>
          <w:sz w:val="2"/>
          <w:szCs w:val="2"/>
        </w:rPr>
      </w:pPr>
    </w:p>
    <w:p w:rsidR="006B7156" w:rsidRPr="006B7156" w:rsidRDefault="006B7156" w:rsidP="006B7156">
      <w:pPr>
        <w:rPr>
          <w:sz w:val="2"/>
          <w:szCs w:val="2"/>
        </w:rPr>
      </w:pPr>
    </w:p>
    <w:p w:rsidR="006B7156" w:rsidRPr="006B7156" w:rsidRDefault="006B7156" w:rsidP="006B7156">
      <w:pPr>
        <w:rPr>
          <w:sz w:val="2"/>
          <w:szCs w:val="2"/>
        </w:rPr>
      </w:pPr>
    </w:p>
    <w:p w:rsidR="006B7156" w:rsidRPr="006B7156" w:rsidRDefault="006B7156" w:rsidP="006B7156">
      <w:pPr>
        <w:rPr>
          <w:sz w:val="2"/>
          <w:szCs w:val="2"/>
        </w:rPr>
      </w:pPr>
    </w:p>
    <w:p w:rsidR="006B7156" w:rsidRPr="006B7156" w:rsidRDefault="006B7156" w:rsidP="006B7156">
      <w:pPr>
        <w:rPr>
          <w:sz w:val="2"/>
          <w:szCs w:val="2"/>
        </w:rPr>
      </w:pPr>
    </w:p>
    <w:p w:rsidR="006B7156" w:rsidRPr="006B7156" w:rsidRDefault="006B7156" w:rsidP="006B7156">
      <w:pPr>
        <w:rPr>
          <w:sz w:val="2"/>
          <w:szCs w:val="2"/>
        </w:rPr>
      </w:pPr>
    </w:p>
    <w:p w:rsidR="006B7156" w:rsidRPr="006B7156" w:rsidRDefault="006B7156" w:rsidP="006B7156">
      <w:pPr>
        <w:rPr>
          <w:sz w:val="2"/>
          <w:szCs w:val="2"/>
        </w:rPr>
      </w:pPr>
    </w:p>
    <w:p w:rsidR="006B7156" w:rsidRPr="006B7156" w:rsidRDefault="006B7156" w:rsidP="006B7156">
      <w:pPr>
        <w:rPr>
          <w:sz w:val="2"/>
          <w:szCs w:val="2"/>
        </w:rPr>
      </w:pPr>
    </w:p>
    <w:p w:rsidR="006B7156" w:rsidRPr="006B7156" w:rsidRDefault="006B7156" w:rsidP="006B7156">
      <w:pPr>
        <w:rPr>
          <w:sz w:val="2"/>
          <w:szCs w:val="2"/>
        </w:rPr>
      </w:pPr>
    </w:p>
    <w:p w:rsidR="00544FDC" w:rsidRPr="004332D9" w:rsidRDefault="00544FDC" w:rsidP="00544FDC">
      <w:pPr>
        <w:pStyle w:val="Heading1"/>
        <w:spacing w:before="100" w:beforeAutospacing="1" w:after="100" w:afterAutospacing="1"/>
        <w:ind w:left="6480" w:right="-2"/>
        <w:jc w:val="both"/>
        <w:rPr>
          <w:sz w:val="28"/>
          <w:szCs w:val="28"/>
        </w:rPr>
      </w:pPr>
      <w:r w:rsidRPr="004332D9">
        <w:rPr>
          <w:sz w:val="28"/>
          <w:szCs w:val="28"/>
        </w:rPr>
        <w:t>П</w:t>
      </w:r>
      <w:r>
        <w:rPr>
          <w:sz w:val="28"/>
          <w:szCs w:val="28"/>
        </w:rPr>
        <w:t>р</w:t>
      </w:r>
      <w:r w:rsidRPr="004332D9">
        <w:rPr>
          <w:sz w:val="28"/>
          <w:szCs w:val="28"/>
        </w:rPr>
        <w:t>иложение №</w:t>
      </w:r>
      <w:r>
        <w:rPr>
          <w:sz w:val="28"/>
          <w:szCs w:val="28"/>
        </w:rPr>
        <w:t xml:space="preserve"> 1</w:t>
      </w:r>
    </w:p>
    <w:p w:rsidR="00544FDC" w:rsidRPr="00895C12" w:rsidRDefault="00544FDC" w:rsidP="00544FDC">
      <w:pPr>
        <w:pStyle w:val="Heading1"/>
        <w:spacing w:before="100" w:beforeAutospacing="1" w:after="100" w:afterAutospacing="1"/>
        <w:jc w:val="both"/>
        <w:rPr>
          <w:sz w:val="28"/>
          <w:szCs w:val="28"/>
          <w:lang w:val="ru-RU"/>
        </w:rPr>
      </w:pPr>
    </w:p>
    <w:p w:rsidR="00544FDC" w:rsidRPr="00030ADF" w:rsidRDefault="00544FDC" w:rsidP="00544FDC">
      <w:pPr>
        <w:pStyle w:val="Heading1"/>
        <w:spacing w:before="100" w:beforeAutospacing="1" w:after="100" w:afterAutospacing="1"/>
        <w:rPr>
          <w:sz w:val="28"/>
          <w:szCs w:val="28"/>
        </w:rPr>
      </w:pPr>
      <w:r w:rsidRPr="00030ADF">
        <w:rPr>
          <w:sz w:val="28"/>
          <w:szCs w:val="28"/>
        </w:rPr>
        <w:t>П</w:t>
      </w:r>
      <w:r>
        <w:rPr>
          <w:sz w:val="28"/>
          <w:szCs w:val="28"/>
        </w:rPr>
        <w:t>РЕДМЕТ НА ПОРЪЧКАТА</w:t>
      </w:r>
    </w:p>
    <w:p w:rsidR="00544FDC" w:rsidRDefault="00544FDC" w:rsidP="00544FDC">
      <w:pPr>
        <w:autoSpaceDE/>
        <w:autoSpaceDN/>
        <w:jc w:val="both"/>
        <w:rPr>
          <w:sz w:val="28"/>
          <w:szCs w:val="28"/>
        </w:rPr>
      </w:pPr>
    </w:p>
    <w:p w:rsidR="00544FDC" w:rsidRPr="003C71F0" w:rsidRDefault="00544FDC" w:rsidP="00544FDC">
      <w:pPr>
        <w:autoSpaceDE/>
        <w:autoSpaceDN/>
        <w:jc w:val="both"/>
        <w:rPr>
          <w:sz w:val="28"/>
          <w:szCs w:val="28"/>
        </w:rPr>
      </w:pPr>
      <w:r w:rsidRPr="00581102">
        <w:rPr>
          <w:b/>
          <w:sz w:val="28"/>
          <w:szCs w:val="28"/>
          <w:lang w:val="en-US"/>
        </w:rPr>
        <w:t>1.</w:t>
      </w:r>
      <w:r>
        <w:rPr>
          <w:sz w:val="28"/>
          <w:szCs w:val="28"/>
          <w:lang w:val="en-US"/>
        </w:rPr>
        <w:t xml:space="preserve"> </w:t>
      </w:r>
      <w:r w:rsidRPr="00411959">
        <w:rPr>
          <w:sz w:val="28"/>
          <w:szCs w:val="28"/>
        </w:rPr>
        <w:t xml:space="preserve">Предметът на поръчката включва </w:t>
      </w:r>
      <w:r w:rsidRPr="00E71238">
        <w:rPr>
          <w:sz w:val="28"/>
          <w:szCs w:val="28"/>
        </w:rPr>
        <w:t xml:space="preserve">доставка </w:t>
      </w:r>
      <w:r w:rsidR="00E71238" w:rsidRPr="00E71238">
        <w:rPr>
          <w:sz w:val="28"/>
          <w:szCs w:val="28"/>
        </w:rPr>
        <w:t>на лекарствени продукти, включени в списъка по чл. 2, ал. 2 от Наредба № 34/2005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r w:rsidRPr="00E71238">
        <w:rPr>
          <w:sz w:val="28"/>
          <w:szCs w:val="28"/>
        </w:rPr>
        <w:t>, съгласно</w:t>
      </w:r>
      <w:r>
        <w:rPr>
          <w:sz w:val="28"/>
          <w:szCs w:val="28"/>
        </w:rPr>
        <w:t xml:space="preserve"> приложената спецификация.</w:t>
      </w:r>
      <w:r w:rsidRPr="00C61BBC">
        <w:t xml:space="preserve"> </w:t>
      </w:r>
    </w:p>
    <w:p w:rsidR="009F174E" w:rsidRPr="00EF2DBE" w:rsidRDefault="009F174E" w:rsidP="009F174E">
      <w:pPr>
        <w:jc w:val="both"/>
        <w:rPr>
          <w:sz w:val="28"/>
          <w:szCs w:val="28"/>
          <w:lang w:val="ru-RU"/>
        </w:rPr>
      </w:pPr>
      <w:r w:rsidRPr="00B05DEF">
        <w:rPr>
          <w:sz w:val="28"/>
          <w:szCs w:val="28"/>
        </w:rPr>
        <w:t xml:space="preserve">Участниците </w:t>
      </w:r>
      <w:r w:rsidRPr="004E26FE">
        <w:rPr>
          <w:sz w:val="28"/>
          <w:szCs w:val="28"/>
        </w:rPr>
        <w:t xml:space="preserve">могат да подават </w:t>
      </w:r>
      <w:r>
        <w:rPr>
          <w:sz w:val="28"/>
          <w:szCs w:val="28"/>
        </w:rPr>
        <w:t>оферти</w:t>
      </w:r>
      <w:r w:rsidRPr="004E26FE">
        <w:rPr>
          <w:sz w:val="28"/>
          <w:szCs w:val="28"/>
        </w:rPr>
        <w:t xml:space="preserve"> </w:t>
      </w:r>
      <w:r>
        <w:rPr>
          <w:sz w:val="28"/>
          <w:szCs w:val="28"/>
        </w:rPr>
        <w:t>само за една, няколко или всички позиции от спецификацията.</w:t>
      </w:r>
    </w:p>
    <w:p w:rsidR="00544FDC" w:rsidRPr="00EF2DBE" w:rsidRDefault="00544FDC" w:rsidP="00544FDC">
      <w:pPr>
        <w:jc w:val="both"/>
        <w:rPr>
          <w:sz w:val="28"/>
          <w:szCs w:val="28"/>
          <w:lang w:val="ru-RU"/>
        </w:rPr>
      </w:pPr>
      <w:r>
        <w:rPr>
          <w:sz w:val="28"/>
          <w:szCs w:val="28"/>
        </w:rPr>
        <w:tab/>
      </w:r>
    </w:p>
    <w:p w:rsidR="00544FDC" w:rsidRPr="0077407B" w:rsidRDefault="00544FDC" w:rsidP="00544FDC">
      <w:pPr>
        <w:spacing w:before="100" w:beforeAutospacing="1" w:after="100" w:afterAutospacing="1"/>
        <w:jc w:val="both"/>
        <w:rPr>
          <w:sz w:val="20"/>
          <w:szCs w:val="20"/>
          <w:lang w:val="ru-RU"/>
        </w:rPr>
      </w:pPr>
    </w:p>
    <w:p w:rsidR="002933D0" w:rsidRPr="00030ADF" w:rsidRDefault="00544FDC" w:rsidP="002933D0">
      <w:pPr>
        <w:jc w:val="both"/>
        <w:rPr>
          <w:sz w:val="28"/>
          <w:szCs w:val="28"/>
        </w:rPr>
      </w:pPr>
      <w:r>
        <w:rPr>
          <w:sz w:val="28"/>
          <w:szCs w:val="28"/>
        </w:rPr>
        <w:br w:type="page"/>
      </w:r>
    </w:p>
    <w:p w:rsidR="00544FDC" w:rsidRPr="005C76DA" w:rsidRDefault="00544FDC" w:rsidP="00544FDC">
      <w:pPr>
        <w:spacing w:before="100" w:beforeAutospacing="1" w:after="100" w:afterAutospacing="1"/>
        <w:jc w:val="both"/>
        <w:rPr>
          <w:color w:val="FFFFFF"/>
          <w:sz w:val="16"/>
          <w:szCs w:val="16"/>
        </w:rPr>
      </w:pPr>
      <w:r w:rsidRPr="00030ADF">
        <w:rPr>
          <w:sz w:val="28"/>
          <w:szCs w:val="28"/>
        </w:rPr>
        <w:lastRenderedPageBreak/>
        <w:t xml:space="preserve">                                   </w:t>
      </w:r>
      <w:r>
        <w:rPr>
          <w:sz w:val="28"/>
          <w:szCs w:val="28"/>
        </w:rPr>
        <w:t xml:space="preserve">                     </w:t>
      </w:r>
    </w:p>
    <w:p w:rsidR="00544FDC" w:rsidRDefault="00544FDC" w:rsidP="00544FDC">
      <w:pPr>
        <w:pStyle w:val="Heading1"/>
        <w:spacing w:before="100" w:beforeAutospacing="1" w:after="100" w:afterAutospacing="1"/>
        <w:ind w:left="5193" w:right="-766" w:firstLine="1287"/>
        <w:jc w:val="both"/>
        <w:rPr>
          <w:sz w:val="28"/>
          <w:szCs w:val="28"/>
        </w:rPr>
      </w:pPr>
      <w:r w:rsidRPr="004332D9">
        <w:rPr>
          <w:sz w:val="28"/>
          <w:szCs w:val="28"/>
        </w:rPr>
        <w:t>П</w:t>
      </w:r>
      <w:r>
        <w:rPr>
          <w:sz w:val="28"/>
          <w:szCs w:val="28"/>
        </w:rPr>
        <w:t>р</w:t>
      </w:r>
      <w:r w:rsidRPr="004332D9">
        <w:rPr>
          <w:sz w:val="28"/>
          <w:szCs w:val="28"/>
        </w:rPr>
        <w:t>иложение №</w:t>
      </w:r>
      <w:r>
        <w:rPr>
          <w:sz w:val="28"/>
          <w:szCs w:val="28"/>
        </w:rPr>
        <w:t xml:space="preserve"> 2</w:t>
      </w:r>
    </w:p>
    <w:p w:rsidR="00544FDC" w:rsidRPr="00097CD8" w:rsidRDefault="00544FDC" w:rsidP="00544FDC"/>
    <w:p w:rsidR="00544FDC" w:rsidRDefault="00544FDC" w:rsidP="00544FDC">
      <w:pPr>
        <w:pStyle w:val="Heading1"/>
        <w:spacing w:before="100" w:beforeAutospacing="1" w:after="100" w:afterAutospacing="1"/>
        <w:rPr>
          <w:sz w:val="28"/>
          <w:szCs w:val="28"/>
        </w:rPr>
      </w:pPr>
      <w:r>
        <w:rPr>
          <w:sz w:val="28"/>
          <w:szCs w:val="28"/>
        </w:rPr>
        <w:t>ТЕХНИЧЕСКИ УСЛОВИЯ И ИЗИСКВАНИЯ</w:t>
      </w:r>
    </w:p>
    <w:p w:rsidR="00544FDC" w:rsidRPr="00097CD8" w:rsidRDefault="00544FDC" w:rsidP="00544FDC"/>
    <w:p w:rsidR="00544FDC" w:rsidRPr="000D15EE" w:rsidRDefault="00544FDC" w:rsidP="00544FDC">
      <w:pPr>
        <w:rPr>
          <w:b/>
          <w:bCs/>
          <w:sz w:val="28"/>
          <w:szCs w:val="28"/>
        </w:rPr>
      </w:pPr>
      <w:r w:rsidRPr="000D15EE">
        <w:rPr>
          <w:b/>
          <w:bCs/>
          <w:sz w:val="28"/>
          <w:szCs w:val="28"/>
        </w:rPr>
        <w:t>І.</w:t>
      </w:r>
      <w:r w:rsidRPr="000D15EE">
        <w:rPr>
          <w:sz w:val="28"/>
          <w:szCs w:val="28"/>
        </w:rPr>
        <w:t xml:space="preserve"> </w:t>
      </w:r>
      <w:r w:rsidRPr="000D15EE">
        <w:rPr>
          <w:b/>
          <w:bCs/>
          <w:sz w:val="28"/>
          <w:szCs w:val="28"/>
        </w:rPr>
        <w:t>Изисквания към лекарствените продукти:</w:t>
      </w:r>
    </w:p>
    <w:p w:rsidR="00544FDC" w:rsidRPr="00872909" w:rsidRDefault="00544FDC" w:rsidP="00544FDC">
      <w:pPr>
        <w:jc w:val="both"/>
        <w:rPr>
          <w:sz w:val="28"/>
          <w:szCs w:val="28"/>
        </w:rPr>
      </w:pPr>
      <w:r w:rsidRPr="00872909">
        <w:rPr>
          <w:sz w:val="28"/>
          <w:szCs w:val="28"/>
        </w:rPr>
        <w:t>1. Лекарствените продукти трябва да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(EO) № 726/2004 г. на Европейския парламент и Съвета /чл. 23, ал.1 на ЗЛПХМ/ и сертификат за освобождаване на партида, издаден от квалифицирано лице по ЗЛПХМ и удостоверяващ, че партидата лекарствен продукт е произведена и контролирана в съответствие с изискванията на разрешението за употреба по реда на ЗЛПХМ. В случа</w:t>
      </w:r>
      <w:r w:rsidR="00E804FE">
        <w:rPr>
          <w:sz w:val="28"/>
          <w:szCs w:val="28"/>
        </w:rPr>
        <w:t xml:space="preserve">ите по </w:t>
      </w:r>
      <w:r w:rsidRPr="00872909">
        <w:rPr>
          <w:sz w:val="28"/>
          <w:szCs w:val="28"/>
        </w:rPr>
        <w:t xml:space="preserve">чл. 55, ал. 6 от ЗЛПХМ, </w:t>
      </w:r>
      <w:r w:rsidR="00E804FE">
        <w:rPr>
          <w:sz w:val="28"/>
          <w:szCs w:val="28"/>
        </w:rPr>
        <w:t xml:space="preserve">участникът декларира, </w:t>
      </w:r>
      <w:r w:rsidRPr="00872909">
        <w:rPr>
          <w:sz w:val="28"/>
          <w:szCs w:val="28"/>
        </w:rPr>
        <w:t>че количествата за лекарствения продукт са налични;</w:t>
      </w:r>
    </w:p>
    <w:p w:rsidR="00544FDC" w:rsidRPr="00872909" w:rsidRDefault="00544FDC" w:rsidP="00544FDC">
      <w:pPr>
        <w:jc w:val="both"/>
        <w:rPr>
          <w:sz w:val="28"/>
          <w:szCs w:val="28"/>
        </w:rPr>
      </w:pPr>
      <w:r w:rsidRPr="00872909">
        <w:rPr>
          <w:sz w:val="28"/>
          <w:szCs w:val="28"/>
        </w:rPr>
        <w:t>2. Лекарствените продукти следва да бъдат с държавна регулирана цена, съгласно чл. 258, ал. 1 от ЗЛПХМ;</w:t>
      </w:r>
    </w:p>
    <w:p w:rsidR="00544FDC" w:rsidRPr="00872909" w:rsidRDefault="00544FDC" w:rsidP="00544FDC">
      <w:pPr>
        <w:jc w:val="both"/>
        <w:rPr>
          <w:sz w:val="28"/>
          <w:szCs w:val="28"/>
        </w:rPr>
      </w:pPr>
      <w:r w:rsidRPr="00872909">
        <w:rPr>
          <w:sz w:val="28"/>
          <w:szCs w:val="28"/>
        </w:rPr>
        <w:t>3. Лекарствените продукти следва да бъдат включени в Позитивния лекарствен списък, актуален към датата на отваряне на плик № 1</w:t>
      </w:r>
      <w:r w:rsidRPr="00872909">
        <w:rPr>
          <w:sz w:val="28"/>
          <w:szCs w:val="28"/>
          <w:lang w:val="en-US"/>
        </w:rPr>
        <w:t xml:space="preserve"> </w:t>
      </w:r>
      <w:r w:rsidRPr="00872909">
        <w:rPr>
          <w:sz w:val="28"/>
          <w:szCs w:val="28"/>
        </w:rPr>
        <w:t>и 2 от процедурата.</w:t>
      </w:r>
    </w:p>
    <w:p w:rsidR="00544FDC" w:rsidRPr="00872909" w:rsidRDefault="00544FDC" w:rsidP="00544FDC">
      <w:pPr>
        <w:jc w:val="both"/>
        <w:rPr>
          <w:sz w:val="28"/>
          <w:szCs w:val="28"/>
        </w:rPr>
      </w:pPr>
      <w:r w:rsidRPr="00872909">
        <w:rPr>
          <w:sz w:val="28"/>
          <w:szCs w:val="28"/>
        </w:rPr>
        <w:t xml:space="preserve">4. Лекарствените продукти следва да бъдат включени в лекарствена листа, покривана от обществен фонд на поне три от посочените страни в чл.5, т.2 от Наредба №34/2005г. за реда за заплащане от републиканския бюджет на лечението на български граждани за заболявания, извън обхвата на задължителното здравно осигуряване. </w:t>
      </w:r>
    </w:p>
    <w:p w:rsidR="00544FDC" w:rsidRDefault="00544FDC" w:rsidP="00544FDC">
      <w:pPr>
        <w:jc w:val="both"/>
        <w:rPr>
          <w:sz w:val="28"/>
          <w:szCs w:val="28"/>
          <w:lang w:val="en-US"/>
        </w:rPr>
      </w:pPr>
      <w:r w:rsidRPr="00ED13D5">
        <w:rPr>
          <w:sz w:val="28"/>
          <w:szCs w:val="28"/>
        </w:rPr>
        <w:t>5. Срокът на годност на предлаганите лекарствени продукти следва да бъде не по-малък от 60 /шестдесет/ на сто от обявения от производителя към датата на всяка доставка.</w:t>
      </w:r>
      <w:r>
        <w:rPr>
          <w:sz w:val="28"/>
          <w:szCs w:val="28"/>
        </w:rPr>
        <w:t xml:space="preserve"> </w:t>
      </w:r>
    </w:p>
    <w:p w:rsidR="00544FDC" w:rsidRDefault="00544FDC" w:rsidP="00544FDC">
      <w:pPr>
        <w:jc w:val="both"/>
        <w:rPr>
          <w:sz w:val="28"/>
          <w:szCs w:val="28"/>
        </w:rPr>
      </w:pPr>
      <w:r>
        <w:rPr>
          <w:sz w:val="28"/>
          <w:szCs w:val="28"/>
        </w:rPr>
        <w:t xml:space="preserve">6. Размерът на неустойката за </w:t>
      </w:r>
      <w:r w:rsidR="00E804FE">
        <w:rPr>
          <w:sz w:val="28"/>
          <w:szCs w:val="28"/>
        </w:rPr>
        <w:t>неизпълнение</w:t>
      </w:r>
      <w:r>
        <w:rPr>
          <w:sz w:val="28"/>
          <w:szCs w:val="28"/>
        </w:rPr>
        <w:t xml:space="preserve"> на задълженията по договора е както следва:</w:t>
      </w:r>
    </w:p>
    <w:p w:rsidR="00544FDC" w:rsidRPr="0072669E" w:rsidRDefault="00544FDC" w:rsidP="00544FDC">
      <w:pPr>
        <w:tabs>
          <w:tab w:val="num" w:pos="1440"/>
        </w:tabs>
        <w:jc w:val="both"/>
        <w:rPr>
          <w:b/>
          <w:bCs/>
          <w:sz w:val="28"/>
          <w:szCs w:val="28"/>
        </w:rPr>
      </w:pPr>
      <w:r>
        <w:rPr>
          <w:sz w:val="28"/>
          <w:szCs w:val="28"/>
        </w:rPr>
        <w:t>6. 1.</w:t>
      </w:r>
      <w:r w:rsidRPr="00F83225">
        <w:rPr>
          <w:sz w:val="28"/>
          <w:szCs w:val="28"/>
        </w:rPr>
        <w:t xml:space="preserve"> </w:t>
      </w:r>
      <w:r w:rsidRPr="0072669E">
        <w:rPr>
          <w:sz w:val="28"/>
          <w:szCs w:val="28"/>
        </w:rPr>
        <w:t>В случай на доставка на лекарствения продукт с по – кратък от договорения срок на годност</w:t>
      </w:r>
      <w:r>
        <w:rPr>
          <w:sz w:val="28"/>
          <w:szCs w:val="28"/>
        </w:rPr>
        <w:t>,</w:t>
      </w:r>
      <w:r w:rsidRPr="0072669E">
        <w:rPr>
          <w:sz w:val="28"/>
          <w:szCs w:val="28"/>
        </w:rPr>
        <w:t xml:space="preserve"> </w:t>
      </w:r>
      <w:r w:rsidR="00E804FE">
        <w:rPr>
          <w:bCs/>
          <w:sz w:val="28"/>
          <w:szCs w:val="28"/>
        </w:rPr>
        <w:t>изпълнителят</w:t>
      </w:r>
      <w:r w:rsidRPr="0072669E">
        <w:rPr>
          <w:b/>
          <w:bCs/>
          <w:sz w:val="28"/>
          <w:szCs w:val="28"/>
        </w:rPr>
        <w:t xml:space="preserve"> </w:t>
      </w:r>
      <w:r w:rsidRPr="0072669E">
        <w:rPr>
          <w:sz w:val="28"/>
          <w:szCs w:val="28"/>
        </w:rPr>
        <w:t>дължи неустойка, както следва:</w:t>
      </w:r>
    </w:p>
    <w:p w:rsidR="00544FDC" w:rsidRPr="00773E10" w:rsidRDefault="00544FDC" w:rsidP="00544FDC">
      <w:pPr>
        <w:jc w:val="both"/>
        <w:rPr>
          <w:sz w:val="28"/>
          <w:szCs w:val="28"/>
          <w:lang w:val="en-US"/>
        </w:rPr>
      </w:pPr>
      <w:r>
        <w:rPr>
          <w:sz w:val="28"/>
          <w:szCs w:val="28"/>
        </w:rPr>
        <w:tab/>
      </w:r>
      <w:r>
        <w:rPr>
          <w:sz w:val="28"/>
          <w:szCs w:val="28"/>
        </w:rPr>
        <w:tab/>
        <w:t>- 59,99</w:t>
      </w:r>
      <w:r w:rsidRPr="00174CE2">
        <w:rPr>
          <w:sz w:val="28"/>
          <w:szCs w:val="28"/>
        </w:rPr>
        <w:t>%</w:t>
      </w:r>
      <w:r>
        <w:rPr>
          <w:sz w:val="28"/>
          <w:szCs w:val="28"/>
        </w:rPr>
        <w:t xml:space="preserve"> </w:t>
      </w:r>
      <w:r w:rsidRPr="00174CE2">
        <w:rPr>
          <w:sz w:val="28"/>
          <w:szCs w:val="28"/>
        </w:rPr>
        <w:t>-</w:t>
      </w:r>
      <w:r>
        <w:rPr>
          <w:sz w:val="28"/>
          <w:szCs w:val="28"/>
        </w:rPr>
        <w:t xml:space="preserve"> </w:t>
      </w:r>
      <w:r w:rsidRPr="00174CE2">
        <w:rPr>
          <w:sz w:val="28"/>
          <w:szCs w:val="28"/>
        </w:rPr>
        <w:t>5</w:t>
      </w:r>
      <w:r>
        <w:rPr>
          <w:sz w:val="28"/>
          <w:szCs w:val="28"/>
        </w:rPr>
        <w:t>0</w:t>
      </w:r>
      <w:r w:rsidRPr="00174CE2">
        <w:rPr>
          <w:sz w:val="28"/>
          <w:szCs w:val="28"/>
        </w:rPr>
        <w:t xml:space="preserve">% </w:t>
      </w:r>
      <w:r>
        <w:rPr>
          <w:sz w:val="28"/>
          <w:szCs w:val="28"/>
        </w:rPr>
        <w:t>- 20 % върху стойността на доставката;</w:t>
      </w:r>
      <w:r>
        <w:rPr>
          <w:sz w:val="28"/>
          <w:szCs w:val="28"/>
          <w:lang w:val="en-US"/>
        </w:rPr>
        <w:t xml:space="preserve"> </w:t>
      </w:r>
    </w:p>
    <w:p w:rsidR="00544FDC" w:rsidRDefault="00544FDC" w:rsidP="00544FDC">
      <w:pPr>
        <w:jc w:val="both"/>
        <w:rPr>
          <w:sz w:val="28"/>
          <w:szCs w:val="28"/>
        </w:rPr>
      </w:pPr>
      <w:r>
        <w:rPr>
          <w:sz w:val="28"/>
          <w:szCs w:val="28"/>
        </w:rPr>
        <w:tab/>
      </w:r>
      <w:r>
        <w:rPr>
          <w:sz w:val="28"/>
          <w:szCs w:val="28"/>
        </w:rPr>
        <w:tab/>
        <w:t>- 49,99% - 40% - 30 % върху стойността на доставката;</w:t>
      </w:r>
    </w:p>
    <w:p w:rsidR="00544FDC" w:rsidRPr="000F0204" w:rsidRDefault="00544FDC" w:rsidP="00544FDC">
      <w:pPr>
        <w:ind w:left="720" w:firstLine="720"/>
        <w:jc w:val="both"/>
        <w:rPr>
          <w:b/>
          <w:bCs/>
          <w:sz w:val="28"/>
          <w:szCs w:val="28"/>
        </w:rPr>
      </w:pPr>
      <w:r>
        <w:rPr>
          <w:sz w:val="28"/>
          <w:szCs w:val="28"/>
        </w:rPr>
        <w:t>- 39,99% - 30% - 60 % върху стойността на доставката;</w:t>
      </w:r>
    </w:p>
    <w:p w:rsidR="00544FDC" w:rsidRPr="000F0204" w:rsidRDefault="00544FDC" w:rsidP="00544FDC">
      <w:pPr>
        <w:ind w:left="720" w:firstLine="720"/>
        <w:jc w:val="both"/>
        <w:rPr>
          <w:b/>
          <w:bCs/>
          <w:sz w:val="28"/>
          <w:szCs w:val="28"/>
        </w:rPr>
      </w:pPr>
      <w:r>
        <w:rPr>
          <w:sz w:val="28"/>
          <w:szCs w:val="28"/>
        </w:rPr>
        <w:t>- 29,99% - 20% - 75 % върху стойността на доставката;</w:t>
      </w:r>
    </w:p>
    <w:p w:rsidR="00544FDC" w:rsidRPr="00420CC4" w:rsidRDefault="00544FDC" w:rsidP="00544FDC">
      <w:pPr>
        <w:ind w:left="720" w:firstLine="720"/>
        <w:jc w:val="both"/>
        <w:rPr>
          <w:sz w:val="28"/>
          <w:szCs w:val="28"/>
        </w:rPr>
      </w:pPr>
      <w:r>
        <w:rPr>
          <w:sz w:val="28"/>
          <w:szCs w:val="28"/>
        </w:rPr>
        <w:t>- под 20% - 90 % върху стойността на доставката.</w:t>
      </w:r>
      <w:r w:rsidRPr="00857C21">
        <w:rPr>
          <w:bCs/>
          <w:sz w:val="28"/>
          <w:szCs w:val="28"/>
        </w:rPr>
        <w:tab/>
      </w:r>
    </w:p>
    <w:p w:rsidR="00544FDC" w:rsidRDefault="00544FDC" w:rsidP="00544FDC">
      <w:pPr>
        <w:jc w:val="both"/>
        <w:rPr>
          <w:sz w:val="28"/>
          <w:szCs w:val="28"/>
        </w:rPr>
      </w:pPr>
      <w:r>
        <w:rPr>
          <w:sz w:val="28"/>
          <w:szCs w:val="28"/>
        </w:rPr>
        <w:t xml:space="preserve">6. 2. </w:t>
      </w:r>
      <w:r w:rsidRPr="00006D44">
        <w:rPr>
          <w:sz w:val="28"/>
          <w:szCs w:val="28"/>
        </w:rPr>
        <w:t xml:space="preserve">Доставката на лекарствен продукт с остатъчен срок на годност по-малък от </w:t>
      </w:r>
      <w:r>
        <w:rPr>
          <w:sz w:val="28"/>
          <w:szCs w:val="28"/>
        </w:rPr>
        <w:t>30 на сто от обявения от производителя</w:t>
      </w:r>
      <w:r w:rsidRPr="00006D44">
        <w:rPr>
          <w:sz w:val="28"/>
          <w:szCs w:val="28"/>
        </w:rPr>
        <w:t xml:space="preserve"> се извършва само с писмено съгласие на</w:t>
      </w:r>
      <w:r>
        <w:rPr>
          <w:b/>
          <w:bCs/>
          <w:sz w:val="28"/>
          <w:szCs w:val="28"/>
        </w:rPr>
        <w:t xml:space="preserve"> </w:t>
      </w:r>
      <w:r w:rsidR="00E804FE">
        <w:rPr>
          <w:bCs/>
          <w:sz w:val="28"/>
          <w:szCs w:val="28"/>
        </w:rPr>
        <w:t>възложителя</w:t>
      </w:r>
      <w:r>
        <w:rPr>
          <w:b/>
          <w:bCs/>
          <w:sz w:val="28"/>
          <w:szCs w:val="28"/>
        </w:rPr>
        <w:t xml:space="preserve"> </w:t>
      </w:r>
      <w:r w:rsidRPr="008552CD">
        <w:rPr>
          <w:sz w:val="28"/>
          <w:szCs w:val="28"/>
        </w:rPr>
        <w:t>за конкретно количество</w:t>
      </w:r>
      <w:r w:rsidRPr="00ED4A60">
        <w:rPr>
          <w:bCs/>
          <w:sz w:val="28"/>
          <w:szCs w:val="28"/>
        </w:rPr>
        <w:t xml:space="preserve">, </w:t>
      </w:r>
      <w:r w:rsidRPr="008552CD">
        <w:rPr>
          <w:sz w:val="28"/>
          <w:szCs w:val="28"/>
        </w:rPr>
        <w:t>определено от него</w:t>
      </w:r>
      <w:r w:rsidRPr="000417B7">
        <w:rPr>
          <w:i/>
          <w:iCs/>
          <w:sz w:val="28"/>
          <w:szCs w:val="28"/>
        </w:rPr>
        <w:t>.</w:t>
      </w:r>
      <w:r w:rsidRPr="002413F7">
        <w:rPr>
          <w:sz w:val="28"/>
          <w:szCs w:val="28"/>
        </w:rPr>
        <w:t xml:space="preserve"> </w:t>
      </w:r>
      <w:r>
        <w:rPr>
          <w:sz w:val="28"/>
          <w:szCs w:val="28"/>
        </w:rPr>
        <w:t xml:space="preserve">Без изрично </w:t>
      </w:r>
      <w:r w:rsidRPr="00006D44">
        <w:rPr>
          <w:sz w:val="28"/>
          <w:szCs w:val="28"/>
        </w:rPr>
        <w:t>писмено съгласие</w:t>
      </w:r>
      <w:r>
        <w:rPr>
          <w:sz w:val="28"/>
          <w:szCs w:val="28"/>
        </w:rPr>
        <w:t xml:space="preserve"> на </w:t>
      </w:r>
      <w:r w:rsidR="00E804FE">
        <w:rPr>
          <w:bCs/>
          <w:sz w:val="28"/>
          <w:szCs w:val="28"/>
        </w:rPr>
        <w:t>възложителя</w:t>
      </w:r>
      <w:r>
        <w:rPr>
          <w:b/>
          <w:bCs/>
          <w:sz w:val="28"/>
          <w:szCs w:val="28"/>
        </w:rPr>
        <w:t xml:space="preserve"> </w:t>
      </w:r>
      <w:r w:rsidRPr="008D1567">
        <w:rPr>
          <w:sz w:val="28"/>
          <w:szCs w:val="28"/>
        </w:rPr>
        <w:t>стоките няма да бъдат запла</w:t>
      </w:r>
      <w:r>
        <w:rPr>
          <w:sz w:val="28"/>
          <w:szCs w:val="28"/>
        </w:rPr>
        <w:t>щани</w:t>
      </w:r>
      <w:r w:rsidRPr="008D1567">
        <w:rPr>
          <w:sz w:val="28"/>
          <w:szCs w:val="28"/>
        </w:rPr>
        <w:t>.</w:t>
      </w:r>
      <w:r>
        <w:rPr>
          <w:sz w:val="28"/>
          <w:szCs w:val="28"/>
        </w:rPr>
        <w:t xml:space="preserve"> </w:t>
      </w:r>
    </w:p>
    <w:p w:rsidR="00544FDC" w:rsidRPr="00A16B75" w:rsidRDefault="00544FDC" w:rsidP="00544FDC">
      <w:pPr>
        <w:jc w:val="both"/>
        <w:rPr>
          <w:b/>
          <w:sz w:val="28"/>
          <w:szCs w:val="28"/>
          <w:lang w:val="ru-RU"/>
        </w:rPr>
      </w:pPr>
    </w:p>
    <w:p w:rsidR="00544FDC" w:rsidRPr="00B2744D" w:rsidRDefault="00544FDC" w:rsidP="00544FDC">
      <w:pPr>
        <w:jc w:val="both"/>
        <w:rPr>
          <w:b/>
          <w:sz w:val="28"/>
          <w:szCs w:val="28"/>
        </w:rPr>
      </w:pPr>
      <w:r>
        <w:rPr>
          <w:b/>
          <w:sz w:val="28"/>
          <w:szCs w:val="28"/>
          <w:lang w:val="en-US"/>
        </w:rPr>
        <w:lastRenderedPageBreak/>
        <w:t>II</w:t>
      </w:r>
      <w:r w:rsidRPr="00B2744D">
        <w:rPr>
          <w:b/>
          <w:sz w:val="28"/>
          <w:szCs w:val="28"/>
        </w:rPr>
        <w:t>. Изисквания към участниците:</w:t>
      </w:r>
    </w:p>
    <w:p w:rsidR="00544FDC" w:rsidRPr="00B2744D" w:rsidRDefault="00544FDC" w:rsidP="00544FDC">
      <w:pPr>
        <w:jc w:val="both"/>
        <w:rPr>
          <w:sz w:val="28"/>
          <w:szCs w:val="28"/>
        </w:rPr>
      </w:pPr>
      <w:r w:rsidRPr="00872909">
        <w:rPr>
          <w:sz w:val="28"/>
          <w:szCs w:val="28"/>
        </w:rPr>
        <w:t xml:space="preserve">Участниците в обществената поръчка трябва да притежават разрешение за производство, издадено по реда на ЗЛПХМ </w:t>
      </w:r>
      <w:r w:rsidRPr="00872909">
        <w:rPr>
          <w:sz w:val="28"/>
          <w:szCs w:val="28"/>
          <w:lang w:val="ru-RU"/>
        </w:rPr>
        <w:t>(</w:t>
      </w:r>
      <w:r w:rsidRPr="00872909">
        <w:rPr>
          <w:sz w:val="28"/>
          <w:szCs w:val="28"/>
        </w:rPr>
        <w:t>в случаите по чл. 196, ал. 1 от ЗЛПХМ</w:t>
      </w:r>
      <w:r w:rsidRPr="00872909">
        <w:rPr>
          <w:sz w:val="28"/>
          <w:szCs w:val="28"/>
          <w:lang w:val="ru-RU"/>
        </w:rPr>
        <w:t>)</w:t>
      </w:r>
      <w:r w:rsidRPr="00872909">
        <w:rPr>
          <w:sz w:val="28"/>
          <w:szCs w:val="28"/>
        </w:rPr>
        <w:t xml:space="preserve"> или за търговия на едро с лекарствени продукти или удостоверение за регистрация за търговия на едро с лекарства, или разрешение за внос – издадени по реда на ЗЛПХМ.</w:t>
      </w:r>
      <w:r w:rsidRPr="00B2744D">
        <w:rPr>
          <w:sz w:val="28"/>
          <w:szCs w:val="28"/>
        </w:rPr>
        <w:t xml:space="preserve">     </w:t>
      </w:r>
    </w:p>
    <w:p w:rsidR="00544FDC" w:rsidRDefault="00544FDC" w:rsidP="00544FDC">
      <w:pPr>
        <w:spacing w:before="100" w:beforeAutospacing="1" w:after="100" w:afterAutospacing="1"/>
        <w:jc w:val="both"/>
        <w:rPr>
          <w:color w:val="FFFFFF"/>
          <w:sz w:val="16"/>
          <w:szCs w:val="16"/>
        </w:rPr>
      </w:pPr>
      <w:r>
        <w:rPr>
          <w:color w:val="FFFFFF"/>
          <w:sz w:val="16"/>
          <w:szCs w:val="16"/>
        </w:rPr>
        <w:t xml:space="preserve">       </w:t>
      </w:r>
      <w:r>
        <w:rPr>
          <w:color w:val="FFFFFF"/>
          <w:sz w:val="16"/>
          <w:szCs w:val="16"/>
        </w:rPr>
        <w:tab/>
      </w:r>
      <w:r>
        <w:rPr>
          <w:color w:val="FFFFFF"/>
          <w:sz w:val="16"/>
          <w:szCs w:val="16"/>
        </w:rPr>
        <w:tab/>
      </w:r>
      <w:r>
        <w:rPr>
          <w:color w:val="FFFFFF"/>
          <w:sz w:val="16"/>
          <w:szCs w:val="16"/>
        </w:rPr>
        <w:tab/>
      </w:r>
      <w:r>
        <w:rPr>
          <w:color w:val="FFFFFF"/>
          <w:sz w:val="16"/>
          <w:szCs w:val="16"/>
        </w:rPr>
        <w:tab/>
      </w:r>
      <w:r>
        <w:rPr>
          <w:color w:val="FFFFFF"/>
          <w:sz w:val="16"/>
          <w:szCs w:val="16"/>
        </w:rPr>
        <w:tab/>
      </w:r>
      <w:r>
        <w:rPr>
          <w:color w:val="FFFFFF"/>
          <w:sz w:val="16"/>
          <w:szCs w:val="16"/>
        </w:rPr>
        <w:tab/>
      </w:r>
      <w:r>
        <w:rPr>
          <w:color w:val="FFFFFF"/>
          <w:sz w:val="16"/>
          <w:szCs w:val="16"/>
        </w:rPr>
        <w:tab/>
      </w:r>
      <w:r>
        <w:rPr>
          <w:color w:val="FFFFFF"/>
          <w:sz w:val="16"/>
          <w:szCs w:val="16"/>
        </w:rPr>
        <w:tab/>
      </w:r>
      <w:r>
        <w:rPr>
          <w:color w:val="FFFFFF"/>
          <w:sz w:val="16"/>
          <w:szCs w:val="16"/>
        </w:rPr>
        <w:tab/>
      </w:r>
    </w:p>
    <w:p w:rsidR="00544FDC" w:rsidRPr="004332D9" w:rsidRDefault="00544FDC" w:rsidP="00544FDC">
      <w:pPr>
        <w:spacing w:before="100" w:beforeAutospacing="1" w:after="100" w:afterAutospacing="1"/>
        <w:ind w:left="5760" w:firstLine="720"/>
        <w:jc w:val="both"/>
        <w:rPr>
          <w:sz w:val="28"/>
          <w:szCs w:val="28"/>
        </w:rPr>
      </w:pPr>
      <w:r>
        <w:rPr>
          <w:b/>
          <w:bCs/>
          <w:sz w:val="28"/>
          <w:szCs w:val="28"/>
        </w:rPr>
        <w:br w:type="page"/>
      </w:r>
      <w:r w:rsidR="00822955">
        <w:rPr>
          <w:b/>
          <w:bCs/>
          <w:sz w:val="28"/>
          <w:szCs w:val="28"/>
        </w:rPr>
        <w:lastRenderedPageBreak/>
        <w:t xml:space="preserve">       </w:t>
      </w:r>
      <w:r w:rsidRPr="004332D9">
        <w:rPr>
          <w:b/>
          <w:bCs/>
          <w:sz w:val="28"/>
          <w:szCs w:val="28"/>
        </w:rPr>
        <w:t xml:space="preserve">Приложение № </w:t>
      </w:r>
      <w:r>
        <w:rPr>
          <w:b/>
          <w:bCs/>
          <w:sz w:val="28"/>
          <w:szCs w:val="28"/>
        </w:rPr>
        <w:t>3</w:t>
      </w:r>
    </w:p>
    <w:p w:rsidR="00544FDC" w:rsidRPr="00EC5010" w:rsidRDefault="00544FDC" w:rsidP="00544FDC">
      <w:pPr>
        <w:pStyle w:val="BodyText"/>
        <w:spacing w:before="100" w:beforeAutospacing="1" w:after="100" w:afterAutospacing="1"/>
        <w:ind w:left="-567" w:right="-766" w:firstLine="567"/>
        <w:jc w:val="both"/>
        <w:rPr>
          <w:b/>
          <w:bCs/>
          <w:lang w:val="en-US"/>
        </w:rPr>
      </w:pPr>
    </w:p>
    <w:p w:rsidR="00544FDC" w:rsidRPr="00EB7D7F" w:rsidRDefault="00544FDC" w:rsidP="00822955">
      <w:pPr>
        <w:pStyle w:val="BodyText"/>
        <w:spacing w:before="100" w:beforeAutospacing="1" w:after="100" w:afterAutospacing="1"/>
        <w:ind w:left="-567" w:right="-766" w:firstLine="567"/>
        <w:jc w:val="center"/>
        <w:rPr>
          <w:b/>
          <w:bCs/>
        </w:rPr>
      </w:pPr>
      <w:r w:rsidRPr="00EB7D7F">
        <w:rPr>
          <w:b/>
          <w:bCs/>
        </w:rPr>
        <w:t>УКАЗАНИЯ ЗА ИЗГОТВЯНЕ НА ОФЕРТАТА</w:t>
      </w:r>
    </w:p>
    <w:p w:rsidR="00544FDC" w:rsidRPr="00EB7D7F" w:rsidRDefault="00544FDC" w:rsidP="00822955">
      <w:pPr>
        <w:pStyle w:val="BodyText"/>
        <w:spacing w:before="100" w:beforeAutospacing="1" w:after="100" w:afterAutospacing="1"/>
        <w:ind w:left="-567" w:right="-241" w:firstLine="567"/>
        <w:jc w:val="center"/>
        <w:rPr>
          <w:b/>
          <w:bCs/>
        </w:rPr>
      </w:pPr>
      <w:r w:rsidRPr="00EB7D7F">
        <w:rPr>
          <w:b/>
          <w:bCs/>
        </w:rPr>
        <w:t>/ОБРАЗЕЦ/</w:t>
      </w:r>
    </w:p>
    <w:p w:rsidR="00544FDC" w:rsidRPr="00EB7D7F" w:rsidRDefault="00544FDC" w:rsidP="00544FDC">
      <w:pPr>
        <w:jc w:val="both"/>
        <w:rPr>
          <w:sz w:val="28"/>
          <w:szCs w:val="28"/>
        </w:rPr>
      </w:pPr>
      <w:r>
        <w:rPr>
          <w:sz w:val="28"/>
          <w:szCs w:val="28"/>
        </w:rPr>
        <w:tab/>
      </w:r>
      <w:r w:rsidRPr="00EB7D7F">
        <w:rPr>
          <w:sz w:val="28"/>
          <w:szCs w:val="28"/>
        </w:rPr>
        <w:t xml:space="preserve">Всеки </w:t>
      </w:r>
      <w:r>
        <w:rPr>
          <w:sz w:val="28"/>
          <w:szCs w:val="28"/>
        </w:rPr>
        <w:t>участник в</w:t>
      </w:r>
      <w:r w:rsidRPr="00EB7D7F">
        <w:rPr>
          <w:sz w:val="28"/>
          <w:szCs w:val="28"/>
        </w:rPr>
        <w:t xml:space="preserve"> процедурата има право да представи само ед</w:t>
      </w:r>
      <w:r>
        <w:rPr>
          <w:sz w:val="28"/>
          <w:szCs w:val="28"/>
        </w:rPr>
        <w:t>ин</w:t>
      </w:r>
      <w:r w:rsidRPr="00EB7D7F">
        <w:rPr>
          <w:sz w:val="28"/>
          <w:szCs w:val="28"/>
        </w:rPr>
        <w:t xml:space="preserve"> </w:t>
      </w:r>
      <w:r>
        <w:rPr>
          <w:sz w:val="28"/>
          <w:szCs w:val="28"/>
        </w:rPr>
        <w:t xml:space="preserve">вариант на </w:t>
      </w:r>
      <w:r w:rsidRPr="00EB7D7F">
        <w:rPr>
          <w:sz w:val="28"/>
          <w:szCs w:val="28"/>
        </w:rPr>
        <w:t>оферта</w:t>
      </w:r>
      <w:r w:rsidR="00744539" w:rsidRPr="00744539">
        <w:rPr>
          <w:sz w:val="28"/>
          <w:szCs w:val="28"/>
        </w:rPr>
        <w:t xml:space="preserve"> </w:t>
      </w:r>
      <w:r w:rsidR="00744539">
        <w:rPr>
          <w:sz w:val="28"/>
          <w:szCs w:val="28"/>
        </w:rPr>
        <w:t>за една, няколко или всички обособени позиции</w:t>
      </w:r>
      <w:r>
        <w:rPr>
          <w:sz w:val="28"/>
          <w:szCs w:val="28"/>
        </w:rPr>
        <w:t>.</w:t>
      </w:r>
    </w:p>
    <w:p w:rsidR="00544FDC" w:rsidRPr="00122CD2" w:rsidRDefault="00544FDC" w:rsidP="00544FDC">
      <w:pPr>
        <w:jc w:val="both"/>
        <w:rPr>
          <w:sz w:val="28"/>
          <w:szCs w:val="28"/>
          <w:lang w:val="en-US"/>
        </w:rPr>
      </w:pPr>
      <w:r>
        <w:rPr>
          <w:sz w:val="28"/>
          <w:szCs w:val="28"/>
        </w:rPr>
        <w:tab/>
      </w:r>
      <w:r w:rsidRPr="00EB7D7F">
        <w:rPr>
          <w:sz w:val="28"/>
          <w:szCs w:val="28"/>
        </w:rPr>
        <w:t xml:space="preserve">Представената оферта </w:t>
      </w:r>
      <w:r>
        <w:rPr>
          <w:sz w:val="28"/>
          <w:szCs w:val="28"/>
        </w:rPr>
        <w:t>трябва да бъде със</w:t>
      </w:r>
      <w:r w:rsidRPr="00EB7D7F">
        <w:rPr>
          <w:sz w:val="28"/>
          <w:szCs w:val="28"/>
        </w:rPr>
        <w:t xml:space="preserve"> срок на валидност не по-малък от 90 /деветдесет/ календарни дни от </w:t>
      </w:r>
      <w:r>
        <w:rPr>
          <w:sz w:val="28"/>
          <w:szCs w:val="28"/>
        </w:rPr>
        <w:t>крайния срок за получаване на офертите</w:t>
      </w:r>
      <w:r w:rsidRPr="00EB7D7F">
        <w:rPr>
          <w:sz w:val="28"/>
          <w:szCs w:val="28"/>
        </w:rPr>
        <w:t>.</w:t>
      </w:r>
    </w:p>
    <w:p w:rsidR="00544FDC" w:rsidRPr="00EB7D7F" w:rsidRDefault="00544FDC" w:rsidP="00544FDC">
      <w:pPr>
        <w:jc w:val="both"/>
        <w:rPr>
          <w:sz w:val="28"/>
          <w:szCs w:val="28"/>
        </w:rPr>
      </w:pPr>
      <w:r w:rsidRPr="00EB7D7F">
        <w:rPr>
          <w:sz w:val="28"/>
          <w:szCs w:val="28"/>
        </w:rPr>
        <w:tab/>
        <w:t xml:space="preserve">Офертата за участие в процедурата се изготвя, предава и приема в съответствие с изискванията на Закона за обществените поръчки. </w:t>
      </w:r>
      <w:r>
        <w:rPr>
          <w:sz w:val="28"/>
          <w:szCs w:val="28"/>
        </w:rPr>
        <w:t>Офертата</w:t>
      </w:r>
      <w:r w:rsidRPr="00EB7D7F">
        <w:rPr>
          <w:sz w:val="28"/>
          <w:szCs w:val="28"/>
        </w:rPr>
        <w:t xml:space="preserve"> се подписва от законния представител на лицето, което </w:t>
      </w:r>
      <w:r>
        <w:rPr>
          <w:sz w:val="28"/>
          <w:szCs w:val="28"/>
        </w:rPr>
        <w:t xml:space="preserve">я </w:t>
      </w:r>
      <w:r w:rsidRPr="00EB7D7F">
        <w:rPr>
          <w:sz w:val="28"/>
          <w:szCs w:val="28"/>
        </w:rPr>
        <w:t xml:space="preserve">подава или от </w:t>
      </w:r>
      <w:r>
        <w:rPr>
          <w:sz w:val="28"/>
          <w:szCs w:val="28"/>
        </w:rPr>
        <w:t xml:space="preserve">изрично </w:t>
      </w:r>
      <w:r w:rsidRPr="00EB7D7F">
        <w:rPr>
          <w:sz w:val="28"/>
          <w:szCs w:val="28"/>
        </w:rPr>
        <w:t>упълномощено от него лице.</w:t>
      </w:r>
    </w:p>
    <w:p w:rsidR="00544FDC" w:rsidRDefault="00544FDC" w:rsidP="00544FDC">
      <w:pPr>
        <w:jc w:val="both"/>
        <w:rPr>
          <w:sz w:val="28"/>
          <w:szCs w:val="28"/>
        </w:rPr>
      </w:pPr>
      <w:r w:rsidRPr="00EB7D7F">
        <w:rPr>
          <w:sz w:val="28"/>
          <w:szCs w:val="28"/>
        </w:rPr>
        <w:tab/>
        <w:t>Офертата за участие в процедурата следва да бъде изготвен</w:t>
      </w:r>
      <w:r>
        <w:rPr>
          <w:sz w:val="28"/>
          <w:szCs w:val="28"/>
        </w:rPr>
        <w:t>а</w:t>
      </w:r>
      <w:r w:rsidRPr="00EB7D7F">
        <w:rPr>
          <w:sz w:val="28"/>
          <w:szCs w:val="28"/>
        </w:rPr>
        <w:t xml:space="preserve"> на български език. </w:t>
      </w:r>
    </w:p>
    <w:p w:rsidR="00544FDC" w:rsidRDefault="00544FDC" w:rsidP="00544FDC">
      <w:pPr>
        <w:pStyle w:val="BodyText"/>
        <w:spacing w:before="100" w:beforeAutospacing="1" w:after="100" w:afterAutospacing="1"/>
        <w:ind w:right="-2"/>
        <w:jc w:val="both"/>
      </w:pPr>
      <w:r>
        <w:tab/>
        <w:t xml:space="preserve">Всички документи, които придружават офертата се представят в оригинал или като ксерокопия с нотариална заверка или заверка на участника, в зависимост от вида на документа и от указаното по-долу, в превод на български език. Документите и данните се подписват само от законните представители на участника, съгласно съдебната му регистрация или от изрично упълномощени за това лица, като в този случай се представя пълномощно в оригинал или копие с нотариална заверка. </w:t>
      </w:r>
      <w:r w:rsidRPr="002A1983">
        <w:rPr>
          <w:b/>
        </w:rPr>
        <w:t>Всички документи трябва да са с дата на издаване, предшестваща подаването на офертата не повече от 6 месеца или да са в срока на тяхната валидност.</w:t>
      </w:r>
    </w:p>
    <w:p w:rsidR="00544FDC" w:rsidRPr="00EB7D7F" w:rsidRDefault="00544FDC" w:rsidP="00544FDC">
      <w:pPr>
        <w:pStyle w:val="BodyText"/>
        <w:spacing w:before="100" w:beforeAutospacing="1" w:after="100" w:afterAutospacing="1"/>
        <w:ind w:right="-2"/>
        <w:jc w:val="both"/>
      </w:pPr>
      <w:r>
        <w:tab/>
      </w:r>
      <w:r w:rsidRPr="009A0C9C">
        <w:t xml:space="preserve">Офертата следва да бъде функционално разпределена в </w:t>
      </w:r>
      <w:r w:rsidRPr="009A0C9C">
        <w:rPr>
          <w:b/>
          <w:u w:val="single"/>
        </w:rPr>
        <w:t>три отделни запечатани, непрозрачни и надписани плика</w:t>
      </w:r>
      <w:r w:rsidRPr="009A0C9C">
        <w:rPr>
          <w:u w:val="single"/>
        </w:rPr>
        <w:t>.</w:t>
      </w:r>
      <w:r w:rsidRPr="009A0C9C">
        <w:t xml:space="preserve"> Трите плика на офертата се поставят в друг непрозрачен плик, върху който се отбелязва името и адреса на възложителя, предмета на обществената поръчка и името и адреса за кореспонденция, тел., факс и е-</w:t>
      </w:r>
      <w:r w:rsidRPr="009A0C9C">
        <w:rPr>
          <w:lang w:val="en-US"/>
        </w:rPr>
        <w:t>mail</w:t>
      </w:r>
      <w:r w:rsidRPr="009A0C9C">
        <w:t xml:space="preserve"> на </w:t>
      </w:r>
      <w:proofErr w:type="spellStart"/>
      <w:r w:rsidRPr="009A0C9C">
        <w:t>оферента</w:t>
      </w:r>
      <w:proofErr w:type="spellEnd"/>
      <w:r w:rsidRPr="009A0C9C">
        <w:t xml:space="preserve"> </w:t>
      </w:r>
      <w:r w:rsidRPr="009A0C9C">
        <w:rPr>
          <w:b/>
        </w:rPr>
        <w:t>и позициите, за които подава оферта</w:t>
      </w:r>
      <w:r w:rsidRPr="009A0C9C">
        <w:rPr>
          <w:bCs/>
          <w:lang w:val="ru-RU"/>
        </w:rPr>
        <w:t>.</w:t>
      </w:r>
      <w:r w:rsidRPr="009A0C9C">
        <w:rPr>
          <w:b/>
          <w:bCs/>
        </w:rPr>
        <w:t xml:space="preserve"> </w:t>
      </w:r>
      <w:r w:rsidRPr="009A0C9C">
        <w:rPr>
          <w:bCs/>
        </w:rPr>
        <w:t>В</w:t>
      </w:r>
      <w:r w:rsidRPr="009A0C9C">
        <w:t>секи един от пликовете следва да има съдържание, посочено по</w:t>
      </w:r>
      <w:r w:rsidR="00744539" w:rsidRPr="009A0C9C">
        <w:t>-</w:t>
      </w:r>
      <w:r w:rsidRPr="009A0C9C">
        <w:t>долу:</w:t>
      </w:r>
    </w:p>
    <w:p w:rsidR="00544FDC" w:rsidRDefault="00544FDC" w:rsidP="00544FDC">
      <w:pPr>
        <w:pStyle w:val="BodyText"/>
        <w:widowControl w:val="0"/>
        <w:spacing w:before="100" w:beforeAutospacing="1" w:after="100" w:afterAutospacing="1"/>
        <w:ind w:right="-2"/>
        <w:jc w:val="both"/>
        <w:rPr>
          <w:b/>
          <w:bCs/>
          <w:u w:val="single"/>
        </w:rPr>
      </w:pPr>
      <w:r w:rsidRPr="004332D9">
        <w:rPr>
          <w:b/>
          <w:bCs/>
          <w:u w:val="single"/>
        </w:rPr>
        <w:t>Плик № 1</w:t>
      </w:r>
      <w:r>
        <w:rPr>
          <w:b/>
          <w:bCs/>
          <w:u w:val="single"/>
        </w:rPr>
        <w:t xml:space="preserve"> с надпис “ДОКУМЕНТИ ЗА ПОДБОР”</w:t>
      </w:r>
    </w:p>
    <w:p w:rsidR="00544FDC" w:rsidRPr="00EB47FE" w:rsidRDefault="00544FDC" w:rsidP="00544FDC">
      <w:pPr>
        <w:pStyle w:val="BodyText"/>
        <w:widowControl w:val="0"/>
        <w:spacing w:before="100" w:beforeAutospacing="1" w:after="100" w:afterAutospacing="1"/>
        <w:ind w:right="-2"/>
        <w:jc w:val="both"/>
        <w:rPr>
          <w:b/>
          <w:bCs/>
          <w:u w:val="single"/>
        </w:rPr>
      </w:pPr>
      <w:r w:rsidRPr="00EB47FE">
        <w:t xml:space="preserve">В плика се поставят следните документи: </w:t>
      </w:r>
    </w:p>
    <w:p w:rsidR="00544FDC" w:rsidRPr="00EB47FE" w:rsidRDefault="00544FDC" w:rsidP="00544FDC">
      <w:pPr>
        <w:pStyle w:val="BodyText"/>
        <w:numPr>
          <w:ilvl w:val="0"/>
          <w:numId w:val="1"/>
        </w:numPr>
        <w:tabs>
          <w:tab w:val="clear" w:pos="720"/>
          <w:tab w:val="num" w:pos="0"/>
          <w:tab w:val="num" w:pos="360"/>
          <w:tab w:val="left" w:pos="567"/>
        </w:tabs>
        <w:spacing w:before="100" w:beforeAutospacing="1" w:after="100" w:afterAutospacing="1"/>
        <w:ind w:left="0" w:right="-2" w:firstLine="0"/>
        <w:jc w:val="both"/>
      </w:pPr>
      <w:r w:rsidRPr="00EB47FE">
        <w:t xml:space="preserve">Документи относно търговско-правния статут на </w:t>
      </w:r>
      <w:r>
        <w:t>участника</w:t>
      </w:r>
      <w:r w:rsidRPr="00EB47FE">
        <w:t>:</w:t>
      </w:r>
    </w:p>
    <w:p w:rsidR="00544FDC" w:rsidRPr="00834FDA" w:rsidRDefault="00544FDC" w:rsidP="00544FDC">
      <w:pPr>
        <w:pStyle w:val="BodyText"/>
        <w:numPr>
          <w:ilvl w:val="1"/>
          <w:numId w:val="2"/>
        </w:numPr>
        <w:tabs>
          <w:tab w:val="clear" w:pos="2160"/>
          <w:tab w:val="num" w:pos="0"/>
          <w:tab w:val="left" w:pos="567"/>
          <w:tab w:val="num" w:pos="862"/>
          <w:tab w:val="num" w:pos="2127"/>
        </w:tabs>
        <w:spacing w:before="100" w:beforeAutospacing="1" w:after="100" w:afterAutospacing="1"/>
        <w:ind w:left="0" w:right="-2" w:firstLine="0"/>
        <w:jc w:val="both"/>
        <w:rPr>
          <w:color w:val="FF0000"/>
        </w:rPr>
      </w:pPr>
      <w:r w:rsidRPr="0093636F">
        <w:rPr>
          <w:color w:val="000000"/>
        </w:rPr>
        <w:t>О</w:t>
      </w:r>
      <w:r w:rsidRPr="003937F6">
        <w:t>ригинал или заверено копие на удостоверение за актуално състояние</w:t>
      </w:r>
      <w:r>
        <w:t xml:space="preserve">, издадено от компетентен орган в страната на участника. Когато участникът е регистриран или пререгистриран в единния електронен търговски регистър </w:t>
      </w:r>
      <w:r>
        <w:lastRenderedPageBreak/>
        <w:t>към Агенцията по вписванията не се изисква удостоверение за актуално състояние, а се посочва ЕИК.</w:t>
      </w:r>
    </w:p>
    <w:p w:rsidR="00544FDC" w:rsidRPr="008458D3" w:rsidRDefault="00544FDC" w:rsidP="00544FDC">
      <w:pPr>
        <w:pStyle w:val="BodyText"/>
        <w:numPr>
          <w:ilvl w:val="1"/>
          <w:numId w:val="2"/>
        </w:numPr>
        <w:tabs>
          <w:tab w:val="num" w:pos="0"/>
          <w:tab w:val="left" w:pos="567"/>
          <w:tab w:val="num" w:pos="862"/>
        </w:tabs>
        <w:spacing w:before="100" w:beforeAutospacing="1" w:after="100" w:afterAutospacing="1"/>
        <w:ind w:left="0" w:right="-2" w:firstLine="0"/>
        <w:jc w:val="both"/>
      </w:pPr>
      <w:r>
        <w:t>Оригинал или нотариално заверено копие на д</w:t>
      </w:r>
      <w:r w:rsidRPr="004332D9">
        <w:t>окументи, удостоверяващи представителната власт на лицето,</w:t>
      </w:r>
      <w:r w:rsidRPr="00E921E3">
        <w:t xml:space="preserve"> </w:t>
      </w:r>
      <w:r w:rsidRPr="004332D9">
        <w:t>от което изхожда предложението</w:t>
      </w:r>
      <w:r>
        <w:t>,</w:t>
      </w:r>
      <w:r w:rsidRPr="004332D9">
        <w:t xml:space="preserve"> в случай, че това не е законния представител на </w:t>
      </w:r>
      <w:r>
        <w:t>участника.</w:t>
      </w:r>
    </w:p>
    <w:p w:rsidR="00544FDC" w:rsidRDefault="00544FDC" w:rsidP="00544FDC">
      <w:pPr>
        <w:pStyle w:val="BodyText"/>
        <w:numPr>
          <w:ilvl w:val="1"/>
          <w:numId w:val="2"/>
        </w:numPr>
        <w:tabs>
          <w:tab w:val="num" w:pos="0"/>
          <w:tab w:val="left" w:pos="567"/>
          <w:tab w:val="num" w:pos="862"/>
        </w:tabs>
        <w:spacing w:before="100" w:beforeAutospacing="1" w:after="100" w:afterAutospacing="1"/>
        <w:ind w:left="0" w:right="-2" w:firstLine="0"/>
        <w:jc w:val="both"/>
      </w:pPr>
      <w:r>
        <w:t xml:space="preserve">Заверени от участника копия на документи </w:t>
      </w:r>
      <w:r w:rsidRPr="004332D9">
        <w:t>за регистрация</w:t>
      </w:r>
      <w:r>
        <w:t xml:space="preserve"> –</w:t>
      </w:r>
      <w:r w:rsidRPr="004332D9">
        <w:t xml:space="preserve"> </w:t>
      </w:r>
      <w:r w:rsidRPr="00E93287">
        <w:t xml:space="preserve"> идентификационен код БУЛСТАТ (в случай, че участникът не е вписан в единния електронен търговски регистър към Агенцията по вписванията) и ДДС идентификационен номер (в предвидените от закона случаи</w:t>
      </w:r>
      <w:r>
        <w:t>)</w:t>
      </w:r>
      <w:r w:rsidRPr="00EB47FE">
        <w:t>.</w:t>
      </w:r>
    </w:p>
    <w:p w:rsidR="00544FDC" w:rsidRDefault="00544FDC" w:rsidP="00544FDC">
      <w:pPr>
        <w:pStyle w:val="BodyText"/>
        <w:numPr>
          <w:ilvl w:val="1"/>
          <w:numId w:val="2"/>
        </w:numPr>
        <w:tabs>
          <w:tab w:val="num" w:pos="0"/>
          <w:tab w:val="left" w:pos="567"/>
          <w:tab w:val="num" w:pos="862"/>
        </w:tabs>
        <w:spacing w:before="100" w:beforeAutospacing="1" w:after="100" w:afterAutospacing="1"/>
        <w:ind w:left="0" w:right="-2" w:firstLine="0"/>
        <w:jc w:val="both"/>
      </w:pPr>
      <w:r w:rsidRPr="001933C7">
        <w:t xml:space="preserve">Декларация за отсъствието на обстоятелства по чл.47, ал.1 и ал.2 от ЗОП </w:t>
      </w:r>
      <w:r w:rsidRPr="001933C7">
        <w:rPr>
          <w:lang w:val="be-BY"/>
        </w:rPr>
        <w:t xml:space="preserve">Декларация за отсъствието на обстоятелствата по чл.47, ал.5 от ЗОП </w:t>
      </w:r>
      <w:r w:rsidRPr="001933C7">
        <w:t xml:space="preserve"> </w:t>
      </w:r>
      <w:r w:rsidRPr="001933C7">
        <w:rPr>
          <w:i/>
          <w:iCs/>
        </w:rPr>
        <w:t>(образец №1)</w:t>
      </w:r>
      <w:r w:rsidRPr="001933C7">
        <w:t>.</w:t>
      </w:r>
    </w:p>
    <w:p w:rsidR="00425E76" w:rsidRDefault="00425E76" w:rsidP="00425E76">
      <w:pPr>
        <w:ind w:right="-2"/>
        <w:jc w:val="both"/>
        <w:rPr>
          <w:sz w:val="28"/>
          <w:szCs w:val="28"/>
        </w:rPr>
      </w:pPr>
      <w:r>
        <w:rPr>
          <w:sz w:val="28"/>
          <w:szCs w:val="28"/>
        </w:rPr>
        <w:t>1.5.</w:t>
      </w:r>
      <w:r w:rsidR="00544FDC" w:rsidRPr="00872909">
        <w:rPr>
          <w:sz w:val="28"/>
          <w:szCs w:val="28"/>
        </w:rPr>
        <w:t xml:space="preserve">Заверено от участника копие на разрешение за производство, издадено по реда на ЗЛПХМ </w:t>
      </w:r>
      <w:r w:rsidR="00544FDC" w:rsidRPr="00872909">
        <w:rPr>
          <w:sz w:val="28"/>
          <w:szCs w:val="28"/>
          <w:lang w:val="ru-RU"/>
        </w:rPr>
        <w:t>(</w:t>
      </w:r>
      <w:r w:rsidR="00544FDC" w:rsidRPr="00872909">
        <w:rPr>
          <w:sz w:val="28"/>
          <w:szCs w:val="28"/>
        </w:rPr>
        <w:t>в случаите по чл. 196, ал. 1 от ЗЛПХМ</w:t>
      </w:r>
      <w:r w:rsidR="00544FDC" w:rsidRPr="00872909">
        <w:rPr>
          <w:sz w:val="28"/>
          <w:szCs w:val="28"/>
          <w:lang w:val="ru-RU"/>
        </w:rPr>
        <w:t>)</w:t>
      </w:r>
      <w:r w:rsidR="00544FDC" w:rsidRPr="00872909">
        <w:rPr>
          <w:sz w:val="28"/>
          <w:szCs w:val="28"/>
        </w:rPr>
        <w:t xml:space="preserve"> или за търговия на едро с лекарствени продукти или удостоверение за регистрация за търговия на едро с лекарства, или разрешение за внос – издадени по реда на ЗЛПХМ.</w:t>
      </w:r>
      <w:r w:rsidR="00544FDC" w:rsidRPr="00990F89">
        <w:rPr>
          <w:sz w:val="28"/>
          <w:szCs w:val="28"/>
        </w:rPr>
        <w:t xml:space="preserve">   </w:t>
      </w:r>
    </w:p>
    <w:p w:rsidR="00425E76" w:rsidRPr="00425E76" w:rsidRDefault="00425E76" w:rsidP="00425E76">
      <w:pPr>
        <w:jc w:val="both"/>
        <w:rPr>
          <w:sz w:val="28"/>
          <w:szCs w:val="28"/>
        </w:rPr>
      </w:pPr>
      <w:r>
        <w:t>1.6.</w:t>
      </w:r>
      <w:r w:rsidRPr="00425E76">
        <w:rPr>
          <w:sz w:val="28"/>
          <w:szCs w:val="28"/>
        </w:rPr>
        <w:t>Участниците в обществената поръчка трябва да притежават лицензия, издадена по реда на ЗКНВП, когато участват за доставка на лекарствени продукти, съдържащи наркотични вещества от приложения 2 и 3 на ЗКНВП.</w:t>
      </w:r>
    </w:p>
    <w:p w:rsidR="00544FDC" w:rsidRDefault="00544FDC" w:rsidP="00544FDC">
      <w:pPr>
        <w:pStyle w:val="BodyText"/>
        <w:numPr>
          <w:ilvl w:val="0"/>
          <w:numId w:val="1"/>
        </w:numPr>
        <w:tabs>
          <w:tab w:val="clear" w:pos="720"/>
          <w:tab w:val="num" w:pos="0"/>
          <w:tab w:val="num" w:pos="360"/>
          <w:tab w:val="left" w:pos="567"/>
        </w:tabs>
        <w:spacing w:before="100" w:beforeAutospacing="1" w:after="100" w:afterAutospacing="1"/>
        <w:ind w:left="0" w:right="-2" w:firstLine="0"/>
        <w:jc w:val="both"/>
      </w:pPr>
      <w:r w:rsidRPr="00EB47FE">
        <w:t>Гаранция</w:t>
      </w:r>
      <w:r>
        <w:t xml:space="preserve"> за участие в процедурата:</w:t>
      </w:r>
    </w:p>
    <w:p w:rsidR="00544FDC" w:rsidRDefault="00544FDC" w:rsidP="00544FDC">
      <w:pPr>
        <w:pStyle w:val="BodyText"/>
        <w:tabs>
          <w:tab w:val="left" w:pos="567"/>
          <w:tab w:val="num" w:pos="720"/>
        </w:tabs>
        <w:spacing w:before="100" w:beforeAutospacing="1" w:after="100" w:afterAutospacing="1"/>
        <w:ind w:right="-2"/>
        <w:jc w:val="both"/>
      </w:pPr>
      <w:r>
        <w:t xml:space="preserve">Гаранцията за участие в процедурата е разпределена по </w:t>
      </w:r>
      <w:r w:rsidR="00744539">
        <w:t>обособени позиции,</w:t>
      </w:r>
      <w:r>
        <w:t xml:space="preserve"> както следва:</w:t>
      </w:r>
    </w:p>
    <w:tbl>
      <w:tblPr>
        <w:tblW w:w="9214" w:type="dxa"/>
        <w:tblInd w:w="70" w:type="dxa"/>
        <w:tblCellMar>
          <w:left w:w="70" w:type="dxa"/>
          <w:right w:w="70" w:type="dxa"/>
        </w:tblCellMar>
        <w:tblLook w:val="04A0"/>
      </w:tblPr>
      <w:tblGrid>
        <w:gridCol w:w="2526"/>
        <w:gridCol w:w="3711"/>
        <w:gridCol w:w="2977"/>
      </w:tblGrid>
      <w:tr w:rsidR="00744539" w:rsidRPr="00744539" w:rsidTr="00827EC0">
        <w:trPr>
          <w:trHeight w:val="300"/>
        </w:trPr>
        <w:tc>
          <w:tcPr>
            <w:tcW w:w="2526" w:type="dxa"/>
            <w:tcBorders>
              <w:top w:val="nil"/>
              <w:left w:val="nil"/>
              <w:bottom w:val="single" w:sz="4" w:space="0" w:color="auto"/>
              <w:right w:val="nil"/>
            </w:tcBorders>
            <w:shd w:val="clear" w:color="auto" w:fill="auto"/>
            <w:noWrap/>
            <w:vAlign w:val="bottom"/>
            <w:hideMark/>
          </w:tcPr>
          <w:p w:rsidR="00744539" w:rsidRPr="00744539" w:rsidRDefault="00744539" w:rsidP="00744539">
            <w:pPr>
              <w:autoSpaceDE/>
              <w:autoSpaceDN/>
              <w:rPr>
                <w:rFonts w:ascii="Calibri" w:hAnsi="Calibri"/>
                <w:color w:val="000000"/>
                <w:sz w:val="22"/>
                <w:szCs w:val="22"/>
                <w:lang w:eastAsia="bg-BG"/>
              </w:rPr>
            </w:pPr>
          </w:p>
        </w:tc>
        <w:tc>
          <w:tcPr>
            <w:tcW w:w="3711" w:type="dxa"/>
            <w:tcBorders>
              <w:top w:val="nil"/>
              <w:left w:val="nil"/>
              <w:bottom w:val="single" w:sz="4" w:space="0" w:color="auto"/>
              <w:right w:val="nil"/>
            </w:tcBorders>
            <w:shd w:val="clear" w:color="auto" w:fill="auto"/>
            <w:noWrap/>
            <w:vAlign w:val="bottom"/>
            <w:hideMark/>
          </w:tcPr>
          <w:p w:rsidR="00744539" w:rsidRPr="00744539" w:rsidRDefault="00744539" w:rsidP="00744539">
            <w:pPr>
              <w:autoSpaceDE/>
              <w:autoSpaceDN/>
              <w:rPr>
                <w:rFonts w:ascii="Calibri" w:hAnsi="Calibri"/>
                <w:color w:val="000000"/>
                <w:sz w:val="22"/>
                <w:szCs w:val="22"/>
                <w:lang w:eastAsia="bg-BG"/>
              </w:rPr>
            </w:pPr>
          </w:p>
        </w:tc>
        <w:tc>
          <w:tcPr>
            <w:tcW w:w="2977" w:type="dxa"/>
            <w:tcBorders>
              <w:top w:val="nil"/>
              <w:left w:val="nil"/>
              <w:bottom w:val="nil"/>
              <w:right w:val="nil"/>
            </w:tcBorders>
            <w:shd w:val="clear" w:color="auto" w:fill="auto"/>
            <w:noWrap/>
            <w:vAlign w:val="bottom"/>
            <w:hideMark/>
          </w:tcPr>
          <w:p w:rsidR="00744539" w:rsidRPr="00744539" w:rsidRDefault="00744539" w:rsidP="00744539">
            <w:pPr>
              <w:autoSpaceDE/>
              <w:autoSpaceDN/>
              <w:rPr>
                <w:rFonts w:ascii="Calibri" w:hAnsi="Calibri"/>
                <w:color w:val="000000"/>
                <w:sz w:val="22"/>
                <w:szCs w:val="22"/>
                <w:lang w:eastAsia="bg-BG"/>
              </w:rPr>
            </w:pPr>
          </w:p>
        </w:tc>
      </w:tr>
      <w:tr w:rsidR="00744539" w:rsidRPr="000A404A" w:rsidTr="00827EC0">
        <w:trPr>
          <w:trHeight w:val="1090"/>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539" w:rsidRPr="000A404A" w:rsidRDefault="00744539" w:rsidP="00744539">
            <w:pPr>
              <w:autoSpaceDE/>
              <w:autoSpaceDN/>
              <w:jc w:val="center"/>
              <w:rPr>
                <w:b/>
                <w:bCs/>
                <w:color w:val="000000"/>
                <w:sz w:val="22"/>
                <w:szCs w:val="22"/>
                <w:lang w:eastAsia="bg-BG"/>
              </w:rPr>
            </w:pPr>
            <w:r w:rsidRPr="000A404A">
              <w:rPr>
                <w:b/>
                <w:bCs/>
                <w:color w:val="000000"/>
                <w:sz w:val="22"/>
                <w:szCs w:val="22"/>
                <w:lang w:eastAsia="bg-BG"/>
              </w:rPr>
              <w:t> Обособена позиция</w:t>
            </w:r>
          </w:p>
        </w:tc>
        <w:tc>
          <w:tcPr>
            <w:tcW w:w="3711" w:type="dxa"/>
            <w:tcBorders>
              <w:top w:val="single" w:sz="4" w:space="0" w:color="auto"/>
              <w:left w:val="nil"/>
              <w:bottom w:val="single" w:sz="4" w:space="0" w:color="auto"/>
              <w:right w:val="single" w:sz="4" w:space="0" w:color="auto"/>
            </w:tcBorders>
            <w:shd w:val="clear" w:color="auto" w:fill="auto"/>
            <w:noWrap/>
            <w:vAlign w:val="center"/>
            <w:hideMark/>
          </w:tcPr>
          <w:p w:rsidR="00744539" w:rsidRPr="000A404A" w:rsidRDefault="00744539" w:rsidP="00744539">
            <w:pPr>
              <w:autoSpaceDE/>
              <w:autoSpaceDN/>
              <w:jc w:val="center"/>
              <w:rPr>
                <w:b/>
                <w:bCs/>
                <w:color w:val="000000"/>
                <w:lang w:eastAsia="bg-BG"/>
              </w:rPr>
            </w:pPr>
            <w:r w:rsidRPr="000A404A">
              <w:rPr>
                <w:b/>
                <w:bCs/>
                <w:color w:val="000000"/>
                <w:lang w:eastAsia="bg-BG"/>
              </w:rPr>
              <w:t>INN</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744539" w:rsidRPr="000A404A" w:rsidRDefault="00744539" w:rsidP="00744539">
            <w:pPr>
              <w:autoSpaceDE/>
              <w:autoSpaceDN/>
              <w:jc w:val="center"/>
              <w:rPr>
                <w:b/>
                <w:bCs/>
                <w:lang w:eastAsia="bg-BG"/>
              </w:rPr>
            </w:pPr>
            <w:r w:rsidRPr="000A404A">
              <w:rPr>
                <w:b/>
                <w:bCs/>
                <w:lang w:eastAsia="bg-BG"/>
              </w:rPr>
              <w:t>Гаранция за участие в лева</w:t>
            </w:r>
          </w:p>
        </w:tc>
      </w:tr>
      <w:tr w:rsidR="000A404A" w:rsidRPr="009B5429" w:rsidTr="00827EC0">
        <w:trPr>
          <w:trHeight w:val="966"/>
        </w:trPr>
        <w:tc>
          <w:tcPr>
            <w:tcW w:w="2526" w:type="dxa"/>
            <w:tcBorders>
              <w:top w:val="nil"/>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1</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RITUXIMAB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2</w:t>
            </w:r>
            <w:r w:rsidR="00CA558A" w:rsidRPr="00CA558A">
              <w:rPr>
                <w:color w:val="000000"/>
                <w:lang w:eastAsia="bg-BG"/>
              </w:rPr>
              <w:t xml:space="preserve"> </w:t>
            </w:r>
            <w:r w:rsidRPr="00CA558A">
              <w:rPr>
                <w:color w:val="000000"/>
                <w:lang w:eastAsia="bg-BG"/>
              </w:rPr>
              <w:t xml:space="preserve">090,50 </w:t>
            </w:r>
            <w:proofErr w:type="spellStart"/>
            <w:r w:rsidRPr="00CA558A">
              <w:rPr>
                <w:color w:val="000000"/>
                <w:lang w:eastAsia="bg-BG"/>
              </w:rPr>
              <w:t>лв</w:t>
            </w:r>
            <w:proofErr w:type="spellEnd"/>
          </w:p>
        </w:tc>
      </w:tr>
      <w:tr w:rsidR="000A404A" w:rsidRPr="009B5429" w:rsidTr="00827EC0">
        <w:trPr>
          <w:trHeight w:val="675"/>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2</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CLADRIBINE</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 xml:space="preserve">179,77 </w:t>
            </w:r>
            <w:proofErr w:type="spellStart"/>
            <w:r w:rsidRPr="00CA558A">
              <w:rPr>
                <w:color w:val="000000"/>
                <w:lang w:eastAsia="bg-BG"/>
              </w:rPr>
              <w:t>лв</w:t>
            </w:r>
            <w:proofErr w:type="spellEnd"/>
          </w:p>
        </w:tc>
      </w:tr>
      <w:tr w:rsidR="000A404A" w:rsidRPr="009B5429" w:rsidTr="00827EC0">
        <w:trPr>
          <w:trHeight w:val="60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3</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 xml:space="preserve"> DASATINIB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1</w:t>
            </w:r>
            <w:r w:rsidR="00CA558A" w:rsidRPr="00CA558A">
              <w:rPr>
                <w:color w:val="000000"/>
                <w:lang w:eastAsia="bg-BG"/>
              </w:rPr>
              <w:t xml:space="preserve"> </w:t>
            </w:r>
            <w:r w:rsidRPr="00CA558A">
              <w:rPr>
                <w:color w:val="000000"/>
                <w:lang w:eastAsia="bg-BG"/>
              </w:rPr>
              <w:t xml:space="preserve">678,12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4</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BORTEZOMIB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 xml:space="preserve">1172,40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5</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ROMIPLOSTIM</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1</w:t>
            </w:r>
            <w:r w:rsidR="00CA558A" w:rsidRPr="00CA558A">
              <w:rPr>
                <w:color w:val="000000"/>
                <w:lang w:eastAsia="bg-BG"/>
              </w:rPr>
              <w:t xml:space="preserve"> </w:t>
            </w:r>
            <w:r w:rsidRPr="00CA558A">
              <w:rPr>
                <w:color w:val="000000"/>
                <w:lang w:eastAsia="bg-BG"/>
              </w:rPr>
              <w:t xml:space="preserve">968,62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6</w:t>
            </w:r>
          </w:p>
        </w:tc>
        <w:tc>
          <w:tcPr>
            <w:tcW w:w="3711" w:type="dxa"/>
            <w:tcBorders>
              <w:top w:val="nil"/>
              <w:left w:val="nil"/>
              <w:bottom w:val="single" w:sz="4" w:space="0" w:color="auto"/>
              <w:right w:val="single" w:sz="4" w:space="0" w:color="auto"/>
            </w:tcBorders>
            <w:shd w:val="clear" w:color="auto" w:fill="auto"/>
            <w:noWrap/>
            <w:vAlign w:val="center"/>
            <w:hideMark/>
          </w:tcPr>
          <w:p w:rsidR="000A404A" w:rsidRDefault="000A404A">
            <w:pPr>
              <w:jc w:val="center"/>
              <w:rPr>
                <w:color w:val="000000"/>
              </w:rPr>
            </w:pPr>
            <w:r>
              <w:rPr>
                <w:color w:val="000000"/>
                <w:sz w:val="28"/>
                <w:szCs w:val="28"/>
              </w:rPr>
              <w:t>NILOTINIB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2</w:t>
            </w:r>
            <w:r w:rsidR="00CA558A" w:rsidRPr="00CA558A">
              <w:rPr>
                <w:color w:val="000000"/>
                <w:lang w:eastAsia="bg-BG"/>
              </w:rPr>
              <w:t xml:space="preserve"> </w:t>
            </w:r>
            <w:r w:rsidRPr="00CA558A">
              <w:rPr>
                <w:color w:val="000000"/>
                <w:lang w:eastAsia="bg-BG"/>
              </w:rPr>
              <w:t xml:space="preserve">118,16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7</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ALEMTUZUMAB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 xml:space="preserve">720,83 </w:t>
            </w:r>
            <w:proofErr w:type="spellStart"/>
            <w:r w:rsidRPr="00CA558A">
              <w:rPr>
                <w:color w:val="000000"/>
                <w:lang w:eastAsia="bg-BG"/>
              </w:rPr>
              <w:t>лв</w:t>
            </w:r>
            <w:proofErr w:type="spellEnd"/>
          </w:p>
        </w:tc>
      </w:tr>
      <w:tr w:rsidR="000A404A" w:rsidRPr="009B5429" w:rsidTr="00827EC0">
        <w:trPr>
          <w:trHeight w:val="1267"/>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lastRenderedPageBreak/>
              <w:t>8</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IMATINIB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9</w:t>
            </w:r>
            <w:r w:rsidR="00CA558A" w:rsidRPr="00CA558A">
              <w:rPr>
                <w:color w:val="000000"/>
                <w:lang w:eastAsia="bg-BG"/>
              </w:rPr>
              <w:t xml:space="preserve"> </w:t>
            </w:r>
            <w:r w:rsidRPr="00CA558A">
              <w:rPr>
                <w:color w:val="000000"/>
                <w:lang w:eastAsia="bg-BG"/>
              </w:rPr>
              <w:t xml:space="preserve">199,72 </w:t>
            </w:r>
            <w:proofErr w:type="spellStart"/>
            <w:r w:rsidRPr="00CA558A">
              <w:rPr>
                <w:color w:val="000000"/>
                <w:lang w:eastAsia="bg-BG"/>
              </w:rPr>
              <w:t>лв</w:t>
            </w:r>
            <w:proofErr w:type="spellEnd"/>
          </w:p>
        </w:tc>
      </w:tr>
      <w:tr w:rsidR="000A404A" w:rsidRPr="009B5429" w:rsidTr="00827EC0">
        <w:trPr>
          <w:trHeight w:val="984"/>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9</w:t>
            </w:r>
          </w:p>
        </w:tc>
        <w:tc>
          <w:tcPr>
            <w:tcW w:w="3711" w:type="dxa"/>
            <w:tcBorders>
              <w:top w:val="single" w:sz="4" w:space="0" w:color="auto"/>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TRASTUZUMAB</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 xml:space="preserve">20 658,17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10</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IRINOTECAN</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 xml:space="preserve">650,00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11</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TEMOZOLOMIDE</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 xml:space="preserve">4 850,66 </w:t>
            </w:r>
            <w:proofErr w:type="spellStart"/>
            <w:r w:rsidRPr="00CA558A">
              <w:rPr>
                <w:color w:val="000000"/>
                <w:lang w:eastAsia="bg-BG"/>
              </w:rPr>
              <w:t>лв</w:t>
            </w:r>
            <w:proofErr w:type="spellEnd"/>
          </w:p>
        </w:tc>
      </w:tr>
      <w:tr w:rsidR="000A404A" w:rsidRPr="009B5429" w:rsidTr="00827EC0">
        <w:trPr>
          <w:trHeight w:val="78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12</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DOCETAXEL</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 xml:space="preserve">1 554,90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13</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GEMCITABINE</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 xml:space="preserve">1 956,66 </w:t>
            </w:r>
            <w:proofErr w:type="spellStart"/>
            <w:r w:rsidRPr="00CA558A">
              <w:rPr>
                <w:color w:val="000000"/>
                <w:lang w:eastAsia="bg-BG"/>
              </w:rPr>
              <w:t>лв</w:t>
            </w:r>
            <w:proofErr w:type="spellEnd"/>
          </w:p>
        </w:tc>
      </w:tr>
      <w:tr w:rsidR="000A404A" w:rsidRPr="009B5429" w:rsidTr="00827EC0">
        <w:trPr>
          <w:trHeight w:val="711"/>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14</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 xml:space="preserve">OXALIPLATIN </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 xml:space="preserve">369,60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15</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BEVACIZUMAB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 xml:space="preserve">13 174,07 </w:t>
            </w:r>
            <w:proofErr w:type="spellStart"/>
            <w:r w:rsidRPr="00CA558A">
              <w:rPr>
                <w:color w:val="000000"/>
                <w:lang w:eastAsia="bg-BG"/>
              </w:rPr>
              <w:t>лв</w:t>
            </w:r>
            <w:proofErr w:type="spellEnd"/>
          </w:p>
        </w:tc>
      </w:tr>
      <w:tr w:rsidR="000A404A" w:rsidRPr="009B5429" w:rsidTr="00827EC0">
        <w:trPr>
          <w:trHeight w:val="465"/>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16</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TOPOTECAN</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AC0545" w:rsidP="00744539">
            <w:pPr>
              <w:autoSpaceDE/>
              <w:autoSpaceDN/>
              <w:jc w:val="center"/>
              <w:rPr>
                <w:color w:val="000000"/>
                <w:lang w:eastAsia="bg-BG"/>
              </w:rPr>
            </w:pPr>
            <w:r w:rsidRPr="00CA558A">
              <w:rPr>
                <w:color w:val="000000"/>
                <w:lang w:eastAsia="bg-BG"/>
              </w:rPr>
              <w:t xml:space="preserve">358,16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17</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PANITUMUMAB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744539">
            <w:pPr>
              <w:autoSpaceDE/>
              <w:autoSpaceDN/>
              <w:jc w:val="center"/>
              <w:rPr>
                <w:color w:val="000000"/>
                <w:lang w:eastAsia="bg-BG"/>
              </w:rPr>
            </w:pPr>
            <w:r w:rsidRPr="00CA558A">
              <w:rPr>
                <w:color w:val="000000"/>
                <w:lang w:eastAsia="bg-BG"/>
              </w:rPr>
              <w:t>1</w:t>
            </w:r>
            <w:r w:rsidR="00CA558A" w:rsidRPr="00CA558A">
              <w:rPr>
                <w:color w:val="000000"/>
                <w:lang w:eastAsia="bg-BG"/>
              </w:rPr>
              <w:t xml:space="preserve"> </w:t>
            </w:r>
            <w:r w:rsidRPr="00CA558A">
              <w:rPr>
                <w:color w:val="000000"/>
                <w:lang w:eastAsia="bg-BG"/>
              </w:rPr>
              <w:t xml:space="preserve">987,98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18</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SORAFENIB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041D55">
            <w:pPr>
              <w:autoSpaceDE/>
              <w:autoSpaceDN/>
              <w:jc w:val="center"/>
              <w:rPr>
                <w:color w:val="000000"/>
                <w:lang w:eastAsia="bg-BG"/>
              </w:rPr>
            </w:pPr>
            <w:r w:rsidRPr="00CA558A">
              <w:rPr>
                <w:color w:val="000000"/>
                <w:lang w:eastAsia="bg-BG"/>
              </w:rPr>
              <w:t>3 </w:t>
            </w:r>
            <w:r w:rsidR="00041D55">
              <w:rPr>
                <w:color w:val="000000"/>
                <w:lang w:eastAsia="bg-BG"/>
              </w:rPr>
              <w:t>496</w:t>
            </w:r>
            <w:r w:rsidRPr="00CA558A">
              <w:rPr>
                <w:color w:val="000000"/>
                <w:lang w:eastAsia="bg-BG"/>
              </w:rPr>
              <w:t>,</w:t>
            </w:r>
            <w:r w:rsidR="00041D55">
              <w:rPr>
                <w:color w:val="000000"/>
                <w:lang w:eastAsia="bg-BG"/>
              </w:rPr>
              <w:t>43</w:t>
            </w:r>
            <w:r w:rsidRPr="00CA558A">
              <w:rPr>
                <w:color w:val="000000"/>
                <w:lang w:eastAsia="bg-BG"/>
              </w:rPr>
              <w:t xml:space="preserve">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19</w:t>
            </w:r>
          </w:p>
        </w:tc>
        <w:tc>
          <w:tcPr>
            <w:tcW w:w="3711" w:type="dxa"/>
            <w:tcBorders>
              <w:top w:val="nil"/>
              <w:left w:val="nil"/>
              <w:bottom w:val="single" w:sz="4" w:space="0" w:color="auto"/>
              <w:right w:val="single" w:sz="4" w:space="0" w:color="auto"/>
            </w:tcBorders>
            <w:shd w:val="clear" w:color="auto" w:fill="auto"/>
            <w:noWrap/>
            <w:vAlign w:val="center"/>
            <w:hideMark/>
          </w:tcPr>
          <w:p w:rsidR="000A404A" w:rsidRDefault="000A404A">
            <w:pPr>
              <w:jc w:val="center"/>
              <w:rPr>
                <w:color w:val="000000"/>
              </w:rPr>
            </w:pPr>
            <w:r>
              <w:rPr>
                <w:color w:val="000000"/>
                <w:sz w:val="28"/>
                <w:szCs w:val="28"/>
              </w:rPr>
              <w:t xml:space="preserve"> ERLOTINIB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744539">
            <w:pPr>
              <w:autoSpaceDE/>
              <w:autoSpaceDN/>
              <w:jc w:val="center"/>
              <w:rPr>
                <w:color w:val="000000"/>
                <w:lang w:eastAsia="bg-BG"/>
              </w:rPr>
            </w:pPr>
            <w:r w:rsidRPr="00CA558A">
              <w:rPr>
                <w:color w:val="000000"/>
                <w:lang w:eastAsia="bg-BG"/>
              </w:rPr>
              <w:t xml:space="preserve">1 965,14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20</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CAPECITABINE</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744539">
            <w:pPr>
              <w:autoSpaceDE/>
              <w:autoSpaceDN/>
              <w:jc w:val="center"/>
              <w:rPr>
                <w:color w:val="000000"/>
                <w:lang w:eastAsia="bg-BG"/>
              </w:rPr>
            </w:pPr>
            <w:r w:rsidRPr="00CA558A">
              <w:rPr>
                <w:color w:val="000000"/>
                <w:lang w:eastAsia="bg-BG"/>
              </w:rPr>
              <w:t xml:space="preserve">2 036,66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21</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LAPATINIB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744539">
            <w:pPr>
              <w:autoSpaceDE/>
              <w:autoSpaceDN/>
              <w:jc w:val="center"/>
              <w:rPr>
                <w:color w:val="000000"/>
                <w:lang w:eastAsia="bg-BG"/>
              </w:rPr>
            </w:pPr>
            <w:r w:rsidRPr="00CA558A">
              <w:rPr>
                <w:color w:val="000000"/>
                <w:lang w:eastAsia="bg-BG"/>
              </w:rPr>
              <w:t xml:space="preserve">1 706,87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22</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SUNITINIB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744539">
            <w:pPr>
              <w:autoSpaceDE/>
              <w:autoSpaceDN/>
              <w:jc w:val="center"/>
              <w:rPr>
                <w:color w:val="000000"/>
                <w:lang w:eastAsia="bg-BG"/>
              </w:rPr>
            </w:pPr>
            <w:r w:rsidRPr="00CA558A">
              <w:rPr>
                <w:color w:val="000000"/>
                <w:lang w:eastAsia="bg-BG"/>
              </w:rPr>
              <w:t xml:space="preserve">11 216,80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23</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PEMETREXED</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744539">
            <w:pPr>
              <w:autoSpaceDE/>
              <w:autoSpaceDN/>
              <w:jc w:val="center"/>
              <w:rPr>
                <w:color w:val="000000"/>
                <w:lang w:eastAsia="bg-BG"/>
              </w:rPr>
            </w:pPr>
            <w:r w:rsidRPr="00CA558A">
              <w:rPr>
                <w:color w:val="000000"/>
                <w:lang w:eastAsia="bg-BG"/>
              </w:rPr>
              <w:t>2</w:t>
            </w:r>
            <w:r w:rsidR="00CA558A" w:rsidRPr="00CA558A">
              <w:rPr>
                <w:color w:val="000000"/>
                <w:lang w:eastAsia="bg-BG"/>
              </w:rPr>
              <w:t> </w:t>
            </w:r>
            <w:r w:rsidRPr="00CA558A">
              <w:rPr>
                <w:color w:val="000000"/>
                <w:lang w:eastAsia="bg-BG"/>
              </w:rPr>
              <w:t>046</w:t>
            </w:r>
            <w:r w:rsidR="00CA558A" w:rsidRPr="00CA558A">
              <w:rPr>
                <w:color w:val="000000"/>
                <w:lang w:eastAsia="bg-BG"/>
              </w:rPr>
              <w:t>,00</w:t>
            </w:r>
            <w:r w:rsidRPr="00CA558A">
              <w:rPr>
                <w:color w:val="000000"/>
                <w:lang w:eastAsia="bg-BG"/>
              </w:rPr>
              <w:t xml:space="preserve"> </w:t>
            </w:r>
            <w:proofErr w:type="spellStart"/>
            <w:r w:rsidRPr="00CA558A">
              <w:rPr>
                <w:color w:val="000000"/>
                <w:lang w:eastAsia="bg-BG"/>
              </w:rPr>
              <w:t>лв</w:t>
            </w:r>
            <w:proofErr w:type="spellEnd"/>
          </w:p>
        </w:tc>
      </w:tr>
      <w:tr w:rsidR="000A404A" w:rsidRPr="009B5429" w:rsidTr="00827EC0">
        <w:trPr>
          <w:trHeight w:val="773"/>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24</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CETUXIMAB</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744539">
            <w:pPr>
              <w:autoSpaceDE/>
              <w:autoSpaceDN/>
              <w:jc w:val="center"/>
              <w:rPr>
                <w:color w:val="000000"/>
                <w:lang w:eastAsia="bg-BG"/>
              </w:rPr>
            </w:pPr>
            <w:r w:rsidRPr="00CA558A">
              <w:rPr>
                <w:color w:val="000000"/>
                <w:lang w:eastAsia="bg-BG"/>
              </w:rPr>
              <w:t xml:space="preserve">857,35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25</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proofErr w:type="spellStart"/>
            <w:r>
              <w:rPr>
                <w:color w:val="000000"/>
                <w:sz w:val="28"/>
                <w:szCs w:val="28"/>
              </w:rPr>
              <w:t>Mycobacterium</w:t>
            </w:r>
            <w:proofErr w:type="spellEnd"/>
            <w:r>
              <w:rPr>
                <w:color w:val="000000"/>
                <w:sz w:val="28"/>
                <w:szCs w:val="28"/>
              </w:rPr>
              <w:t xml:space="preserve"> </w:t>
            </w:r>
            <w:proofErr w:type="spellStart"/>
            <w:r>
              <w:rPr>
                <w:color w:val="000000"/>
                <w:sz w:val="28"/>
                <w:szCs w:val="28"/>
              </w:rPr>
              <w:t>bovis</w:t>
            </w:r>
            <w:proofErr w:type="spellEnd"/>
            <w:r>
              <w:rPr>
                <w:color w:val="000000"/>
                <w:sz w:val="28"/>
                <w:szCs w:val="28"/>
              </w:rPr>
              <w:t xml:space="preserve"> BCG (</w:t>
            </w:r>
            <w:proofErr w:type="spellStart"/>
            <w:r>
              <w:rPr>
                <w:color w:val="000000"/>
                <w:sz w:val="28"/>
                <w:szCs w:val="28"/>
              </w:rPr>
              <w:t>Baccilus</w:t>
            </w:r>
            <w:proofErr w:type="spellEnd"/>
            <w:r>
              <w:rPr>
                <w:color w:val="000000"/>
                <w:sz w:val="28"/>
                <w:szCs w:val="28"/>
              </w:rPr>
              <w:t xml:space="preserve"> </w:t>
            </w:r>
            <w:proofErr w:type="spellStart"/>
            <w:r>
              <w:rPr>
                <w:color w:val="000000"/>
                <w:sz w:val="28"/>
                <w:szCs w:val="28"/>
              </w:rPr>
              <w:t>Calmette</w:t>
            </w:r>
            <w:proofErr w:type="spellEnd"/>
            <w:r>
              <w:rPr>
                <w:color w:val="000000"/>
                <w:sz w:val="28"/>
                <w:szCs w:val="28"/>
              </w:rPr>
              <w:t xml:space="preserve"> - </w:t>
            </w:r>
            <w:proofErr w:type="spellStart"/>
            <w:r>
              <w:rPr>
                <w:color w:val="000000"/>
                <w:sz w:val="28"/>
                <w:szCs w:val="28"/>
              </w:rPr>
              <w:t>Guerin</w:t>
            </w:r>
            <w:proofErr w:type="spellEnd"/>
            <w:r>
              <w:rPr>
                <w:color w:val="000000"/>
                <w:sz w:val="28"/>
                <w:szCs w:val="28"/>
              </w:rPr>
              <w:t>)</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744539">
            <w:pPr>
              <w:autoSpaceDE/>
              <w:autoSpaceDN/>
              <w:jc w:val="center"/>
              <w:rPr>
                <w:color w:val="000000"/>
                <w:lang w:eastAsia="bg-BG"/>
              </w:rPr>
            </w:pPr>
            <w:r w:rsidRPr="00CA558A">
              <w:rPr>
                <w:color w:val="000000"/>
                <w:lang w:eastAsia="bg-BG"/>
              </w:rPr>
              <w:t xml:space="preserve">98,93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26</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IBANDRONIC ACID</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744539">
            <w:pPr>
              <w:autoSpaceDE/>
              <w:autoSpaceDN/>
              <w:jc w:val="center"/>
              <w:rPr>
                <w:color w:val="000000"/>
                <w:lang w:eastAsia="bg-BG"/>
              </w:rPr>
            </w:pPr>
            <w:r w:rsidRPr="00CA558A">
              <w:rPr>
                <w:color w:val="000000"/>
                <w:lang w:eastAsia="bg-BG"/>
              </w:rPr>
              <w:t xml:space="preserve">1 034,27 </w:t>
            </w:r>
            <w:proofErr w:type="spellStart"/>
            <w:r w:rsidRPr="00CA558A">
              <w:rPr>
                <w:color w:val="000000"/>
                <w:lang w:eastAsia="bg-BG"/>
              </w:rPr>
              <w:t>лв</w:t>
            </w:r>
            <w:proofErr w:type="spellEnd"/>
          </w:p>
        </w:tc>
      </w:tr>
      <w:tr w:rsidR="000A404A" w:rsidRPr="009B5429" w:rsidTr="00827EC0">
        <w:trPr>
          <w:trHeight w:val="705"/>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27</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CALCII FOLINAS</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DF11CF">
            <w:pPr>
              <w:autoSpaceDE/>
              <w:autoSpaceDN/>
              <w:jc w:val="center"/>
              <w:rPr>
                <w:color w:val="000000"/>
                <w:lang w:eastAsia="bg-BG"/>
              </w:rPr>
            </w:pPr>
            <w:r w:rsidRPr="00CA558A">
              <w:rPr>
                <w:color w:val="000000"/>
                <w:lang w:eastAsia="bg-BG"/>
              </w:rPr>
              <w:t xml:space="preserve">126,67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28</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proofErr w:type="spellStart"/>
            <w:r>
              <w:rPr>
                <w:color w:val="000000"/>
                <w:sz w:val="28"/>
                <w:szCs w:val="28"/>
              </w:rPr>
              <w:t>Dihydrocodeine</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744539">
            <w:pPr>
              <w:autoSpaceDE/>
              <w:autoSpaceDN/>
              <w:jc w:val="center"/>
              <w:rPr>
                <w:color w:val="000000"/>
                <w:lang w:eastAsia="bg-BG"/>
              </w:rPr>
            </w:pPr>
            <w:r w:rsidRPr="00CA558A">
              <w:rPr>
                <w:color w:val="000000"/>
                <w:lang w:eastAsia="bg-BG"/>
              </w:rPr>
              <w:t xml:space="preserve">136,57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lastRenderedPageBreak/>
              <w:t>29</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pPr>
            <w:proofErr w:type="spellStart"/>
            <w:r>
              <w:rPr>
                <w:sz w:val="28"/>
                <w:szCs w:val="28"/>
              </w:rPr>
              <w:t>Oxycodone</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CA558A" w:rsidRDefault="0089529C" w:rsidP="00744539">
            <w:pPr>
              <w:autoSpaceDE/>
              <w:autoSpaceDN/>
              <w:jc w:val="center"/>
              <w:rPr>
                <w:color w:val="000000"/>
                <w:lang w:eastAsia="bg-BG"/>
              </w:rPr>
            </w:pPr>
            <w:r w:rsidRPr="00CA558A">
              <w:rPr>
                <w:color w:val="000000"/>
                <w:lang w:eastAsia="bg-BG"/>
              </w:rPr>
              <w:t xml:space="preserve">160,50 </w:t>
            </w:r>
            <w:proofErr w:type="spellStart"/>
            <w:r w:rsidRPr="00CA558A">
              <w:rPr>
                <w:color w:val="000000"/>
                <w:lang w:eastAsia="bg-BG"/>
              </w:rPr>
              <w:t>лв</w:t>
            </w:r>
            <w:proofErr w:type="spellEnd"/>
          </w:p>
        </w:tc>
      </w:tr>
      <w:tr w:rsidR="000A404A" w:rsidRPr="009B5429" w:rsidTr="00827EC0">
        <w:trPr>
          <w:trHeight w:val="1692"/>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30</w:t>
            </w:r>
          </w:p>
        </w:tc>
        <w:tc>
          <w:tcPr>
            <w:tcW w:w="3711" w:type="dxa"/>
            <w:tcBorders>
              <w:top w:val="single" w:sz="4" w:space="0" w:color="auto"/>
              <w:left w:val="nil"/>
              <w:bottom w:val="single" w:sz="4" w:space="0" w:color="auto"/>
              <w:right w:val="single" w:sz="4" w:space="0" w:color="auto"/>
            </w:tcBorders>
            <w:shd w:val="clear" w:color="auto" w:fill="auto"/>
            <w:vAlign w:val="center"/>
            <w:hideMark/>
          </w:tcPr>
          <w:p w:rsidR="000A404A" w:rsidRDefault="000A404A">
            <w:pPr>
              <w:jc w:val="center"/>
            </w:pPr>
            <w:proofErr w:type="spellStart"/>
            <w:r>
              <w:rPr>
                <w:sz w:val="28"/>
                <w:szCs w:val="28"/>
              </w:rPr>
              <w:t>Fentanyl</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A404A" w:rsidRPr="00CA558A" w:rsidRDefault="00CA558A" w:rsidP="00744539">
            <w:pPr>
              <w:autoSpaceDE/>
              <w:autoSpaceDN/>
              <w:jc w:val="center"/>
              <w:rPr>
                <w:color w:val="000000"/>
                <w:lang w:eastAsia="bg-BG"/>
              </w:rPr>
            </w:pPr>
            <w:r w:rsidRPr="00CA558A">
              <w:rPr>
                <w:color w:val="000000"/>
                <w:lang w:eastAsia="bg-BG"/>
              </w:rPr>
              <w:t xml:space="preserve">160,00  </w:t>
            </w:r>
            <w:proofErr w:type="spellStart"/>
            <w:r w:rsidRPr="00CA558A">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31</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pPr>
            <w:proofErr w:type="spellStart"/>
            <w:r>
              <w:rPr>
                <w:sz w:val="28"/>
                <w:szCs w:val="28"/>
              </w:rPr>
              <w:t>Morphine</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84,65 </w:t>
            </w:r>
            <w:proofErr w:type="spellStart"/>
            <w:r w:rsidRPr="001D468C">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32</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ZOLEDRONIC ACID</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7 529,16 </w:t>
            </w:r>
            <w:proofErr w:type="spellStart"/>
            <w:r w:rsidRPr="001D468C">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33</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 xml:space="preserve"> IDARUBICIN</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75,66 </w:t>
            </w:r>
            <w:proofErr w:type="spellStart"/>
            <w:r w:rsidRPr="001D468C">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34</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IDARUBICIN</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114,15 </w:t>
            </w:r>
            <w:proofErr w:type="spellStart"/>
            <w:r w:rsidRPr="001D468C">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35</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 xml:space="preserve">INTERFERON   </w:t>
            </w:r>
            <w:proofErr w:type="spellStart"/>
            <w:r>
              <w:rPr>
                <w:color w:val="000000"/>
                <w:sz w:val="28"/>
                <w:szCs w:val="28"/>
              </w:rPr>
              <w:t>alfa</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315,00  </w:t>
            </w:r>
            <w:proofErr w:type="spellStart"/>
            <w:r w:rsidRPr="001D468C">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36</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proofErr w:type="spellStart"/>
            <w:r>
              <w:rPr>
                <w:color w:val="000000"/>
                <w:sz w:val="28"/>
                <w:szCs w:val="28"/>
              </w:rPr>
              <w:t>Colony</w:t>
            </w:r>
            <w:proofErr w:type="spellEnd"/>
            <w:r>
              <w:rPr>
                <w:color w:val="000000"/>
                <w:sz w:val="28"/>
                <w:szCs w:val="28"/>
              </w:rPr>
              <w:t xml:space="preserve"> </w:t>
            </w:r>
            <w:proofErr w:type="spellStart"/>
            <w:r>
              <w:rPr>
                <w:color w:val="000000"/>
                <w:sz w:val="28"/>
                <w:szCs w:val="28"/>
              </w:rPr>
              <w:t>stimulating</w:t>
            </w:r>
            <w:proofErr w:type="spellEnd"/>
            <w:r>
              <w:rPr>
                <w:color w:val="000000"/>
                <w:sz w:val="28"/>
                <w:szCs w:val="28"/>
              </w:rPr>
              <w:t xml:space="preserve"> </w:t>
            </w:r>
            <w:proofErr w:type="spellStart"/>
            <w:r>
              <w:rPr>
                <w:color w:val="000000"/>
                <w:sz w:val="28"/>
                <w:szCs w:val="28"/>
              </w:rPr>
              <w:t>factors</w:t>
            </w:r>
            <w:proofErr w:type="spellEnd"/>
            <w:r>
              <w:rPr>
                <w:color w:val="000000"/>
                <w:sz w:val="28"/>
                <w:szCs w:val="28"/>
              </w:rPr>
              <w:t xml:space="preserve"> (</w:t>
            </w:r>
            <w:proofErr w:type="spellStart"/>
            <w:r>
              <w:rPr>
                <w:color w:val="000000"/>
                <w:sz w:val="28"/>
                <w:szCs w:val="28"/>
              </w:rPr>
              <w:t>Filgrastim</w:t>
            </w:r>
            <w:proofErr w:type="spellEnd"/>
            <w:r>
              <w:rPr>
                <w:color w:val="000000"/>
                <w:sz w:val="28"/>
                <w:szCs w:val="28"/>
              </w:rPr>
              <w:t xml:space="preserve">; </w:t>
            </w:r>
            <w:proofErr w:type="spellStart"/>
            <w:r>
              <w:rPr>
                <w:color w:val="000000"/>
                <w:sz w:val="28"/>
                <w:szCs w:val="28"/>
              </w:rPr>
              <w:t>Lenograstim</w:t>
            </w:r>
            <w:proofErr w:type="spellEnd"/>
            <w:r>
              <w:rPr>
                <w:color w:val="000000"/>
                <w:sz w:val="28"/>
                <w:szCs w:val="28"/>
              </w:rPr>
              <w:t>)</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459,10 </w:t>
            </w:r>
            <w:proofErr w:type="spellStart"/>
            <w:r w:rsidRPr="001D468C">
              <w:rPr>
                <w:color w:val="000000"/>
                <w:lang w:eastAsia="bg-BG"/>
              </w:rPr>
              <w:t>лв</w:t>
            </w:r>
            <w:proofErr w:type="spellEnd"/>
          </w:p>
        </w:tc>
      </w:tr>
      <w:tr w:rsidR="000A404A" w:rsidRPr="009B5429" w:rsidTr="00827EC0">
        <w:trPr>
          <w:trHeight w:val="675"/>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37</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METHOTREXATE</w:t>
            </w:r>
            <w:r>
              <w:rPr>
                <w:color w:val="000000"/>
                <w:sz w:val="28"/>
                <w:szCs w:val="28"/>
              </w:rPr>
              <w:br/>
              <w:t xml:space="preserve">1000 </w:t>
            </w:r>
            <w:proofErr w:type="spellStart"/>
            <w:r>
              <w:rPr>
                <w:color w:val="000000"/>
                <w:sz w:val="28"/>
                <w:szCs w:val="28"/>
              </w:rPr>
              <w:t>mg</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30,83 </w:t>
            </w:r>
            <w:proofErr w:type="spellStart"/>
            <w:r w:rsidRPr="001D468C">
              <w:rPr>
                <w:color w:val="000000"/>
                <w:lang w:eastAsia="bg-BG"/>
              </w:rPr>
              <w:t>лв</w:t>
            </w:r>
            <w:proofErr w:type="spellEnd"/>
          </w:p>
        </w:tc>
      </w:tr>
      <w:tr w:rsidR="000A404A" w:rsidRPr="009B5429" w:rsidTr="00827EC0">
        <w:trPr>
          <w:trHeight w:val="630"/>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38</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b/>
                <w:bCs/>
                <w:color w:val="000000"/>
                <w:sz w:val="28"/>
                <w:szCs w:val="28"/>
              </w:rPr>
              <w:t>Антагонисти на 5 НТЗ-рецептори</w:t>
            </w:r>
            <w:r>
              <w:rPr>
                <w:color w:val="000000"/>
                <w:sz w:val="28"/>
                <w:szCs w:val="28"/>
              </w:rPr>
              <w:t xml:space="preserve">     </w:t>
            </w:r>
            <w:proofErr w:type="spellStart"/>
            <w:r>
              <w:rPr>
                <w:color w:val="000000"/>
                <w:sz w:val="28"/>
                <w:szCs w:val="28"/>
              </w:rPr>
              <w:t>Dolasetron</w:t>
            </w:r>
            <w:proofErr w:type="spellEnd"/>
            <w:r>
              <w:rPr>
                <w:color w:val="000000"/>
                <w:sz w:val="28"/>
                <w:szCs w:val="28"/>
              </w:rPr>
              <w:br/>
            </w:r>
            <w:proofErr w:type="spellStart"/>
            <w:r>
              <w:rPr>
                <w:color w:val="000000"/>
                <w:sz w:val="28"/>
                <w:szCs w:val="28"/>
              </w:rPr>
              <w:t>Granisetron</w:t>
            </w:r>
            <w:proofErr w:type="spellEnd"/>
            <w:r>
              <w:rPr>
                <w:color w:val="000000"/>
                <w:sz w:val="28"/>
                <w:szCs w:val="28"/>
              </w:rPr>
              <w:t xml:space="preserve">   </w:t>
            </w:r>
            <w:proofErr w:type="spellStart"/>
            <w:r>
              <w:rPr>
                <w:color w:val="000000"/>
                <w:sz w:val="28"/>
                <w:szCs w:val="28"/>
              </w:rPr>
              <w:t>Ondansetron</w:t>
            </w:r>
            <w:proofErr w:type="spellEnd"/>
            <w:r>
              <w:rPr>
                <w:color w:val="000000"/>
                <w:sz w:val="28"/>
                <w:szCs w:val="28"/>
              </w:rPr>
              <w:t xml:space="preserve">  </w:t>
            </w:r>
            <w:proofErr w:type="spellStart"/>
            <w:r>
              <w:rPr>
                <w:color w:val="000000"/>
                <w:sz w:val="28"/>
                <w:szCs w:val="28"/>
              </w:rPr>
              <w:t>Palonosetron</w:t>
            </w:r>
            <w:proofErr w:type="spellEnd"/>
            <w:r>
              <w:rPr>
                <w:color w:val="000000"/>
                <w:sz w:val="28"/>
                <w:szCs w:val="28"/>
              </w:rPr>
              <w:br/>
            </w:r>
            <w:proofErr w:type="spellStart"/>
            <w:r>
              <w:rPr>
                <w:color w:val="000000"/>
                <w:sz w:val="28"/>
                <w:szCs w:val="28"/>
              </w:rPr>
              <w:t>Tropisetron</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158,00 </w:t>
            </w:r>
            <w:proofErr w:type="spellStart"/>
            <w:r w:rsidRPr="001D468C">
              <w:rPr>
                <w:color w:val="000000"/>
                <w:lang w:eastAsia="bg-BG"/>
              </w:rPr>
              <w:t>лв</w:t>
            </w:r>
            <w:proofErr w:type="spellEnd"/>
          </w:p>
        </w:tc>
      </w:tr>
      <w:tr w:rsidR="000A404A" w:rsidRPr="009B5429" w:rsidTr="00827EC0">
        <w:trPr>
          <w:trHeight w:val="645"/>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39</w:t>
            </w:r>
          </w:p>
        </w:tc>
        <w:tc>
          <w:tcPr>
            <w:tcW w:w="3711" w:type="dxa"/>
            <w:tcBorders>
              <w:top w:val="nil"/>
              <w:left w:val="nil"/>
              <w:bottom w:val="single" w:sz="4" w:space="0" w:color="auto"/>
              <w:right w:val="single" w:sz="4" w:space="0" w:color="auto"/>
            </w:tcBorders>
            <w:shd w:val="clear" w:color="000000" w:fill="FFFFFF"/>
            <w:vAlign w:val="center"/>
            <w:hideMark/>
          </w:tcPr>
          <w:p w:rsidR="000A404A" w:rsidRDefault="000A404A">
            <w:pPr>
              <w:jc w:val="center"/>
              <w:rPr>
                <w:color w:val="000000"/>
              </w:rPr>
            </w:pPr>
            <w:r>
              <w:rPr>
                <w:color w:val="000000"/>
                <w:sz w:val="28"/>
                <w:szCs w:val="28"/>
              </w:rPr>
              <w:t>FLUDARABINE</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335,35 </w:t>
            </w:r>
            <w:proofErr w:type="spellStart"/>
            <w:r w:rsidRPr="001D468C">
              <w:rPr>
                <w:color w:val="000000"/>
                <w:lang w:eastAsia="bg-BG"/>
              </w:rPr>
              <w:t>лв</w:t>
            </w:r>
            <w:proofErr w:type="spellEnd"/>
          </w:p>
        </w:tc>
      </w:tr>
      <w:tr w:rsidR="000A404A" w:rsidRPr="009B5429" w:rsidTr="00827EC0">
        <w:trPr>
          <w:trHeight w:val="1246"/>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40</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FLUDARABINE</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281,68 </w:t>
            </w:r>
            <w:proofErr w:type="spellStart"/>
            <w:r w:rsidRPr="001D468C">
              <w:rPr>
                <w:color w:val="000000"/>
                <w:lang w:eastAsia="bg-BG"/>
              </w:rPr>
              <w:t>лв</w:t>
            </w:r>
            <w:proofErr w:type="spellEnd"/>
          </w:p>
        </w:tc>
      </w:tr>
      <w:tr w:rsidR="000A404A" w:rsidRPr="009B5429" w:rsidTr="00827EC0">
        <w:trPr>
          <w:trHeight w:val="1561"/>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41</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rPr>
                <w:color w:val="000000"/>
              </w:rPr>
            </w:pPr>
            <w:r>
              <w:rPr>
                <w:color w:val="000000"/>
                <w:sz w:val="28"/>
                <w:szCs w:val="28"/>
              </w:rPr>
              <w:t>ETOPOSIDE</w:t>
            </w:r>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78,00 </w:t>
            </w:r>
            <w:proofErr w:type="spellStart"/>
            <w:r w:rsidRPr="001D468C">
              <w:rPr>
                <w:color w:val="000000"/>
                <w:lang w:eastAsia="bg-BG"/>
              </w:rPr>
              <w:t>лв</w:t>
            </w:r>
            <w:proofErr w:type="spellEnd"/>
          </w:p>
        </w:tc>
      </w:tr>
      <w:tr w:rsidR="000A404A" w:rsidRPr="009B5429" w:rsidTr="000A404A">
        <w:trPr>
          <w:trHeight w:val="1697"/>
        </w:trPr>
        <w:tc>
          <w:tcPr>
            <w:tcW w:w="2526" w:type="dxa"/>
            <w:tcBorders>
              <w:top w:val="single" w:sz="4" w:space="0" w:color="auto"/>
              <w:left w:val="single" w:sz="4" w:space="0" w:color="auto"/>
              <w:bottom w:val="nil"/>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42</w:t>
            </w:r>
          </w:p>
        </w:tc>
        <w:tc>
          <w:tcPr>
            <w:tcW w:w="3711" w:type="dxa"/>
            <w:tcBorders>
              <w:top w:val="nil"/>
              <w:left w:val="nil"/>
              <w:bottom w:val="single" w:sz="4" w:space="0" w:color="auto"/>
              <w:right w:val="single" w:sz="4" w:space="0" w:color="auto"/>
            </w:tcBorders>
            <w:shd w:val="clear" w:color="auto" w:fill="auto"/>
            <w:vAlign w:val="center"/>
            <w:hideMark/>
          </w:tcPr>
          <w:p w:rsidR="000A404A" w:rsidRDefault="000A404A">
            <w:pPr>
              <w:jc w:val="center"/>
            </w:pPr>
            <w:proofErr w:type="spellStart"/>
            <w:r>
              <w:rPr>
                <w:sz w:val="28"/>
                <w:szCs w:val="28"/>
              </w:rPr>
              <w:t>Saccharated</w:t>
            </w:r>
            <w:proofErr w:type="spellEnd"/>
            <w:r>
              <w:rPr>
                <w:sz w:val="28"/>
                <w:szCs w:val="28"/>
              </w:rPr>
              <w:t xml:space="preserve"> </w:t>
            </w:r>
            <w:proofErr w:type="spellStart"/>
            <w:r>
              <w:rPr>
                <w:sz w:val="28"/>
                <w:szCs w:val="28"/>
              </w:rPr>
              <w:t>Iron</w:t>
            </w:r>
            <w:proofErr w:type="spellEnd"/>
            <w:r>
              <w:rPr>
                <w:sz w:val="28"/>
                <w:szCs w:val="28"/>
              </w:rPr>
              <w:t xml:space="preserve"> </w:t>
            </w:r>
            <w:proofErr w:type="spellStart"/>
            <w:r>
              <w:rPr>
                <w:sz w:val="28"/>
                <w:szCs w:val="28"/>
              </w:rPr>
              <w:t>Oxid</w:t>
            </w:r>
            <w:proofErr w:type="spellEnd"/>
          </w:p>
        </w:tc>
        <w:tc>
          <w:tcPr>
            <w:tcW w:w="2977" w:type="dxa"/>
            <w:tcBorders>
              <w:top w:val="nil"/>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1 135,10 </w:t>
            </w:r>
            <w:proofErr w:type="spellStart"/>
            <w:r w:rsidRPr="001D468C">
              <w:rPr>
                <w:color w:val="000000"/>
                <w:lang w:eastAsia="bg-BG"/>
              </w:rPr>
              <w:t>лв</w:t>
            </w:r>
            <w:proofErr w:type="spellEnd"/>
          </w:p>
        </w:tc>
      </w:tr>
      <w:tr w:rsidR="000A404A" w:rsidRPr="00744539" w:rsidTr="000A404A">
        <w:trPr>
          <w:trHeight w:val="1254"/>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lastRenderedPageBreak/>
              <w:t>43</w:t>
            </w:r>
          </w:p>
        </w:tc>
        <w:tc>
          <w:tcPr>
            <w:tcW w:w="3711" w:type="dxa"/>
            <w:tcBorders>
              <w:top w:val="single" w:sz="4" w:space="0" w:color="auto"/>
              <w:left w:val="nil"/>
              <w:bottom w:val="single" w:sz="4" w:space="0" w:color="auto"/>
              <w:right w:val="single" w:sz="4" w:space="0" w:color="auto"/>
            </w:tcBorders>
            <w:shd w:val="clear" w:color="auto" w:fill="auto"/>
            <w:vAlign w:val="center"/>
            <w:hideMark/>
          </w:tcPr>
          <w:p w:rsidR="000A404A" w:rsidRDefault="000A404A">
            <w:pPr>
              <w:jc w:val="center"/>
              <w:rPr>
                <w:color w:val="000000"/>
              </w:rPr>
            </w:pPr>
            <w:proofErr w:type="spellStart"/>
            <w:r>
              <w:rPr>
                <w:color w:val="000000"/>
                <w:sz w:val="28"/>
                <w:szCs w:val="28"/>
              </w:rPr>
              <w:t>Calcitriol</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A404A" w:rsidRPr="001D468C" w:rsidRDefault="00CA558A" w:rsidP="00744539">
            <w:pPr>
              <w:autoSpaceDE/>
              <w:autoSpaceDN/>
              <w:jc w:val="center"/>
              <w:rPr>
                <w:color w:val="000000"/>
                <w:lang w:eastAsia="bg-BG"/>
              </w:rPr>
            </w:pPr>
            <w:r w:rsidRPr="001D468C">
              <w:rPr>
                <w:color w:val="000000"/>
                <w:lang w:eastAsia="bg-BG"/>
              </w:rPr>
              <w:t xml:space="preserve">110,45 </w:t>
            </w:r>
            <w:proofErr w:type="spellStart"/>
            <w:r w:rsidRPr="001D468C">
              <w:rPr>
                <w:color w:val="000000"/>
                <w:lang w:eastAsia="bg-BG"/>
              </w:rPr>
              <w:t>лв</w:t>
            </w:r>
            <w:proofErr w:type="spellEnd"/>
          </w:p>
        </w:tc>
      </w:tr>
      <w:tr w:rsidR="000A404A" w:rsidRPr="00744539" w:rsidTr="000A404A">
        <w:trPr>
          <w:trHeight w:val="1254"/>
        </w:trPr>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04A" w:rsidRPr="000A404A" w:rsidRDefault="000A404A" w:rsidP="00744539">
            <w:pPr>
              <w:autoSpaceDE/>
              <w:autoSpaceDN/>
              <w:jc w:val="center"/>
              <w:rPr>
                <w:sz w:val="22"/>
                <w:szCs w:val="22"/>
                <w:lang w:eastAsia="bg-BG"/>
              </w:rPr>
            </w:pPr>
            <w:r w:rsidRPr="000A404A">
              <w:rPr>
                <w:sz w:val="22"/>
                <w:szCs w:val="22"/>
                <w:lang w:eastAsia="bg-BG"/>
              </w:rPr>
              <w:t>44</w:t>
            </w:r>
          </w:p>
        </w:tc>
        <w:tc>
          <w:tcPr>
            <w:tcW w:w="3711" w:type="dxa"/>
            <w:tcBorders>
              <w:top w:val="single" w:sz="4" w:space="0" w:color="auto"/>
              <w:left w:val="nil"/>
              <w:bottom w:val="single" w:sz="4" w:space="0" w:color="auto"/>
              <w:right w:val="single" w:sz="4" w:space="0" w:color="auto"/>
            </w:tcBorders>
            <w:shd w:val="clear" w:color="auto" w:fill="auto"/>
            <w:vAlign w:val="center"/>
            <w:hideMark/>
          </w:tcPr>
          <w:p w:rsidR="000A404A" w:rsidRDefault="000A404A">
            <w:pPr>
              <w:jc w:val="center"/>
              <w:rPr>
                <w:color w:val="000000"/>
              </w:rPr>
            </w:pPr>
            <w:proofErr w:type="spellStart"/>
            <w:r>
              <w:rPr>
                <w:color w:val="000000"/>
                <w:sz w:val="28"/>
                <w:szCs w:val="28"/>
              </w:rPr>
              <w:t>Sevelamer</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A404A" w:rsidRPr="009B5429" w:rsidRDefault="00CA558A" w:rsidP="00744539">
            <w:pPr>
              <w:autoSpaceDE/>
              <w:autoSpaceDN/>
              <w:jc w:val="center"/>
              <w:rPr>
                <w:color w:val="000000"/>
                <w:highlight w:val="yellow"/>
                <w:lang w:eastAsia="bg-BG"/>
              </w:rPr>
            </w:pPr>
            <w:r w:rsidRPr="00847575">
              <w:rPr>
                <w:color w:val="000000"/>
                <w:lang w:eastAsia="bg-BG"/>
              </w:rPr>
              <w:t xml:space="preserve">423,00 </w:t>
            </w:r>
            <w:proofErr w:type="spellStart"/>
            <w:r w:rsidRPr="00847575">
              <w:rPr>
                <w:color w:val="000000"/>
                <w:lang w:eastAsia="bg-BG"/>
              </w:rPr>
              <w:t>лв</w:t>
            </w:r>
            <w:proofErr w:type="spellEnd"/>
          </w:p>
        </w:tc>
      </w:tr>
    </w:tbl>
    <w:p w:rsidR="00744539" w:rsidRDefault="00744539" w:rsidP="00544FDC">
      <w:pPr>
        <w:ind w:right="-2"/>
        <w:jc w:val="both"/>
        <w:rPr>
          <w:sz w:val="28"/>
          <w:szCs w:val="28"/>
        </w:rPr>
      </w:pPr>
    </w:p>
    <w:p w:rsidR="00544FDC" w:rsidRPr="00D51D1E" w:rsidRDefault="00544FDC" w:rsidP="00544FDC">
      <w:pPr>
        <w:ind w:right="-2"/>
        <w:jc w:val="both"/>
        <w:rPr>
          <w:sz w:val="28"/>
          <w:szCs w:val="28"/>
        </w:rPr>
      </w:pPr>
      <w:r w:rsidRPr="00D51D1E">
        <w:rPr>
          <w:sz w:val="28"/>
          <w:szCs w:val="28"/>
        </w:rPr>
        <w:t xml:space="preserve">Възложителят има право да задържи гаранцията за участие в следните случаи: </w:t>
      </w:r>
    </w:p>
    <w:p w:rsidR="00544FDC" w:rsidRPr="00D51D1E" w:rsidRDefault="00544FDC" w:rsidP="00544FDC">
      <w:pPr>
        <w:ind w:right="-2"/>
        <w:jc w:val="both"/>
        <w:rPr>
          <w:sz w:val="28"/>
          <w:szCs w:val="28"/>
          <w:shd w:val="clear" w:color="auto" w:fill="FEFEFE"/>
        </w:rPr>
      </w:pPr>
      <w:r w:rsidRPr="00D51D1E">
        <w:rPr>
          <w:sz w:val="28"/>
          <w:szCs w:val="28"/>
          <w:shd w:val="clear" w:color="auto" w:fill="FEFEFE"/>
        </w:rPr>
        <w:t>1. Ако участникът оттегли офертата си след изтичането на срока за получаване на офертите;</w:t>
      </w:r>
    </w:p>
    <w:p w:rsidR="00544FDC" w:rsidRDefault="00544FDC" w:rsidP="00544FDC">
      <w:pPr>
        <w:ind w:right="-2"/>
        <w:jc w:val="both"/>
        <w:rPr>
          <w:sz w:val="28"/>
          <w:szCs w:val="28"/>
          <w:shd w:val="clear" w:color="auto" w:fill="FEFEFE"/>
        </w:rPr>
      </w:pPr>
      <w:r w:rsidRPr="00D51D1E">
        <w:rPr>
          <w:sz w:val="28"/>
          <w:szCs w:val="28"/>
          <w:shd w:val="clear" w:color="auto" w:fill="FEFEFE"/>
        </w:rPr>
        <w:t>2.  Ако участникът обжалва решението за определяне на изпълнител - до решаване на спора;</w:t>
      </w:r>
    </w:p>
    <w:p w:rsidR="00544FDC" w:rsidRPr="005413C2" w:rsidRDefault="00544FDC" w:rsidP="00544FDC">
      <w:pPr>
        <w:ind w:right="-2"/>
        <w:jc w:val="both"/>
        <w:rPr>
          <w:sz w:val="28"/>
          <w:szCs w:val="28"/>
          <w:shd w:val="clear" w:color="auto" w:fill="FEFEFE"/>
        </w:rPr>
      </w:pPr>
      <w:r w:rsidRPr="00D51D1E">
        <w:rPr>
          <w:sz w:val="28"/>
          <w:szCs w:val="28"/>
          <w:shd w:val="clear" w:color="auto" w:fill="FEFEFE"/>
        </w:rPr>
        <w:t>3. Ако участникът е определен за изпълнител, но не изпълни задължението си да сключи договор за обществената поръчка.</w:t>
      </w:r>
    </w:p>
    <w:p w:rsidR="00544FDC" w:rsidRDefault="00544FDC" w:rsidP="00544FDC">
      <w:pPr>
        <w:tabs>
          <w:tab w:val="left" w:pos="0"/>
          <w:tab w:val="left" w:pos="567"/>
        </w:tabs>
        <w:spacing w:before="100" w:beforeAutospacing="1" w:after="100" w:afterAutospacing="1"/>
        <w:ind w:right="-2"/>
        <w:jc w:val="both"/>
        <w:rPr>
          <w:sz w:val="28"/>
          <w:szCs w:val="28"/>
        </w:rPr>
      </w:pPr>
      <w:r w:rsidRPr="00662A5A">
        <w:rPr>
          <w:sz w:val="28"/>
          <w:szCs w:val="28"/>
        </w:rPr>
        <w:t xml:space="preserve">Гаранциите </w:t>
      </w:r>
      <w:r>
        <w:rPr>
          <w:sz w:val="28"/>
          <w:szCs w:val="28"/>
        </w:rPr>
        <w:t xml:space="preserve">за участие </w:t>
      </w:r>
      <w:r w:rsidRPr="00662A5A">
        <w:rPr>
          <w:sz w:val="28"/>
          <w:szCs w:val="28"/>
        </w:rPr>
        <w:t xml:space="preserve">на </w:t>
      </w:r>
      <w:r>
        <w:rPr>
          <w:sz w:val="28"/>
          <w:szCs w:val="28"/>
        </w:rPr>
        <w:t>отстранените</w:t>
      </w:r>
      <w:r w:rsidRPr="00662A5A">
        <w:rPr>
          <w:sz w:val="28"/>
          <w:szCs w:val="28"/>
        </w:rPr>
        <w:t xml:space="preserve"> </w:t>
      </w:r>
      <w:r>
        <w:rPr>
          <w:sz w:val="28"/>
          <w:szCs w:val="28"/>
        </w:rPr>
        <w:t>участници</w:t>
      </w:r>
      <w:r w:rsidRPr="00662A5A">
        <w:rPr>
          <w:sz w:val="28"/>
          <w:szCs w:val="28"/>
        </w:rPr>
        <w:t xml:space="preserve"> се освобождават от възложителя в срок </w:t>
      </w:r>
      <w:r>
        <w:rPr>
          <w:sz w:val="28"/>
          <w:szCs w:val="28"/>
        </w:rPr>
        <w:t>5</w:t>
      </w:r>
      <w:r w:rsidRPr="00662A5A">
        <w:rPr>
          <w:sz w:val="28"/>
          <w:szCs w:val="28"/>
        </w:rPr>
        <w:t xml:space="preserve"> работни дни след изтичане на срока за </w:t>
      </w:r>
      <w:r>
        <w:rPr>
          <w:sz w:val="28"/>
          <w:szCs w:val="28"/>
        </w:rPr>
        <w:t xml:space="preserve">обжалване </w:t>
      </w:r>
      <w:r w:rsidRPr="00662A5A">
        <w:rPr>
          <w:sz w:val="28"/>
          <w:szCs w:val="28"/>
        </w:rPr>
        <w:t xml:space="preserve">на  решението </w:t>
      </w:r>
      <w:r>
        <w:rPr>
          <w:sz w:val="28"/>
          <w:szCs w:val="28"/>
        </w:rPr>
        <w:t>на възложителя за определяне на изпълнител</w:t>
      </w:r>
      <w:r w:rsidRPr="00662A5A">
        <w:rPr>
          <w:sz w:val="28"/>
          <w:szCs w:val="28"/>
        </w:rPr>
        <w:t>.</w:t>
      </w:r>
    </w:p>
    <w:p w:rsidR="00544FDC" w:rsidRDefault="00544FDC" w:rsidP="00544FDC">
      <w:pPr>
        <w:tabs>
          <w:tab w:val="left" w:pos="0"/>
          <w:tab w:val="left" w:pos="567"/>
        </w:tabs>
        <w:spacing w:before="100" w:beforeAutospacing="1" w:after="100" w:afterAutospacing="1"/>
        <w:ind w:right="-2"/>
        <w:jc w:val="both"/>
        <w:rPr>
          <w:sz w:val="28"/>
          <w:szCs w:val="28"/>
        </w:rPr>
      </w:pPr>
      <w:r>
        <w:rPr>
          <w:sz w:val="28"/>
          <w:szCs w:val="28"/>
        </w:rPr>
        <w:t xml:space="preserve">Гаранциите за участие на класираните участници се </w:t>
      </w:r>
      <w:r w:rsidRPr="00662A5A">
        <w:rPr>
          <w:sz w:val="28"/>
          <w:szCs w:val="28"/>
        </w:rPr>
        <w:t xml:space="preserve">освобождават в срок </w:t>
      </w:r>
      <w:r>
        <w:rPr>
          <w:sz w:val="28"/>
          <w:szCs w:val="28"/>
        </w:rPr>
        <w:t>5</w:t>
      </w:r>
      <w:r w:rsidRPr="00662A5A">
        <w:rPr>
          <w:sz w:val="28"/>
          <w:szCs w:val="28"/>
        </w:rPr>
        <w:t xml:space="preserve"> работни дни</w:t>
      </w:r>
      <w:r>
        <w:rPr>
          <w:sz w:val="28"/>
          <w:szCs w:val="28"/>
        </w:rPr>
        <w:t xml:space="preserve"> при условията на чл. 62, ал. 1, т. 2 от ЗОП</w:t>
      </w:r>
      <w:r w:rsidRPr="00662A5A">
        <w:rPr>
          <w:sz w:val="28"/>
          <w:szCs w:val="28"/>
        </w:rPr>
        <w:t>.</w:t>
      </w:r>
    </w:p>
    <w:p w:rsidR="00544FDC" w:rsidRDefault="00544FDC" w:rsidP="00544FDC">
      <w:pPr>
        <w:tabs>
          <w:tab w:val="left" w:pos="0"/>
          <w:tab w:val="left" w:pos="567"/>
        </w:tabs>
        <w:spacing w:before="100" w:beforeAutospacing="1" w:after="100" w:afterAutospacing="1"/>
        <w:ind w:right="-2"/>
        <w:jc w:val="both"/>
        <w:rPr>
          <w:sz w:val="28"/>
          <w:szCs w:val="28"/>
        </w:rPr>
      </w:pPr>
      <w:r>
        <w:rPr>
          <w:sz w:val="28"/>
          <w:szCs w:val="28"/>
        </w:rPr>
        <w:t>При прекратяване на процедурата за възлагане на обществена поръчка, гаранциите на всички участници се освобождават в срок пет работни дни след изтичане на срока за обжалване на решението за прекратяване.</w:t>
      </w:r>
    </w:p>
    <w:p w:rsidR="00544FDC" w:rsidRDefault="00544FDC" w:rsidP="00544FDC">
      <w:pPr>
        <w:tabs>
          <w:tab w:val="left" w:pos="0"/>
          <w:tab w:val="left" w:pos="567"/>
        </w:tabs>
        <w:spacing w:before="100" w:beforeAutospacing="1" w:after="100" w:afterAutospacing="1"/>
        <w:ind w:right="-2"/>
        <w:jc w:val="both"/>
        <w:rPr>
          <w:sz w:val="28"/>
          <w:szCs w:val="28"/>
        </w:rPr>
      </w:pPr>
      <w:r w:rsidRPr="00662A5A">
        <w:rPr>
          <w:sz w:val="28"/>
          <w:szCs w:val="28"/>
        </w:rPr>
        <w:t xml:space="preserve">Възложителят освобождава гаранциите без да дължи лихви за периода, през който средствата законно са престояли при него. </w:t>
      </w:r>
    </w:p>
    <w:p w:rsidR="00544FDC" w:rsidRPr="00662A5A" w:rsidRDefault="00544FDC" w:rsidP="00544FDC">
      <w:pPr>
        <w:tabs>
          <w:tab w:val="left" w:pos="567"/>
          <w:tab w:val="left" w:pos="9072"/>
        </w:tabs>
        <w:spacing w:before="100" w:beforeAutospacing="1" w:after="100" w:afterAutospacing="1"/>
        <w:ind w:right="-2"/>
        <w:jc w:val="both"/>
        <w:rPr>
          <w:sz w:val="28"/>
          <w:szCs w:val="28"/>
        </w:rPr>
      </w:pPr>
      <w:r>
        <w:rPr>
          <w:sz w:val="28"/>
          <w:szCs w:val="28"/>
        </w:rPr>
        <w:tab/>
      </w:r>
      <w:r w:rsidRPr="00662A5A">
        <w:rPr>
          <w:sz w:val="28"/>
          <w:szCs w:val="28"/>
        </w:rPr>
        <w:t xml:space="preserve">Гаранциите </w:t>
      </w:r>
      <w:r>
        <w:rPr>
          <w:sz w:val="28"/>
          <w:szCs w:val="28"/>
        </w:rPr>
        <w:t xml:space="preserve">за участие </w:t>
      </w:r>
      <w:r w:rsidRPr="00662A5A">
        <w:rPr>
          <w:sz w:val="28"/>
          <w:szCs w:val="28"/>
        </w:rPr>
        <w:t>се представят в една от формите, съгласно чл.</w:t>
      </w:r>
      <w:r>
        <w:rPr>
          <w:sz w:val="28"/>
          <w:szCs w:val="28"/>
        </w:rPr>
        <w:t>60</w:t>
      </w:r>
      <w:r w:rsidRPr="00662A5A">
        <w:rPr>
          <w:sz w:val="28"/>
          <w:szCs w:val="28"/>
        </w:rPr>
        <w:t xml:space="preserve"> от Закона за обществените поръчки:</w:t>
      </w:r>
    </w:p>
    <w:p w:rsidR="00544FDC" w:rsidRPr="00662A5A" w:rsidRDefault="00544FDC" w:rsidP="00544FDC">
      <w:pPr>
        <w:pStyle w:val="BodyText"/>
        <w:autoSpaceDE/>
        <w:autoSpaceDN/>
        <w:spacing w:before="100" w:beforeAutospacing="1" w:after="100" w:afterAutospacing="1"/>
        <w:ind w:right="-2"/>
        <w:jc w:val="both"/>
      </w:pPr>
      <w:r>
        <w:tab/>
        <w:t xml:space="preserve">- </w:t>
      </w:r>
      <w:r w:rsidRPr="00662A5A">
        <w:t>оригинал на безусловна и неотменяема банкова гаранция, издадена от българска или чуждестранна банка</w:t>
      </w:r>
      <w:r>
        <w:t xml:space="preserve">, в полза на Министерство на здравеопазването, със срок на валидност 90 /деветдесет/ календарни дни, считано от крайния </w:t>
      </w:r>
      <w:r w:rsidRPr="00FF4664">
        <w:t>срок за получаване на офертите</w:t>
      </w:r>
      <w:r>
        <w:t xml:space="preserve">. </w:t>
      </w:r>
      <w:r w:rsidRPr="00662A5A">
        <w:t xml:space="preserve">Банковите гаранции, издадени от чуждестранни банки, следва да са </w:t>
      </w:r>
      <w:proofErr w:type="spellStart"/>
      <w:r w:rsidRPr="00662A5A">
        <w:t>авизирани</w:t>
      </w:r>
      <w:proofErr w:type="spellEnd"/>
      <w:r w:rsidRPr="00662A5A">
        <w:t xml:space="preserve"> чрез българска банка, потвърждаваща автентичността на съобщението.    </w:t>
      </w:r>
    </w:p>
    <w:p w:rsidR="00544FDC" w:rsidRPr="00FB6DBD" w:rsidRDefault="00544FDC" w:rsidP="00544FDC">
      <w:pPr>
        <w:autoSpaceDE/>
        <w:autoSpaceDN/>
        <w:spacing w:before="100" w:beforeAutospacing="1" w:after="100" w:afterAutospacing="1"/>
        <w:ind w:right="-2"/>
        <w:jc w:val="both"/>
        <w:rPr>
          <w:sz w:val="28"/>
          <w:szCs w:val="28"/>
        </w:rPr>
      </w:pPr>
      <w:r>
        <w:rPr>
          <w:sz w:val="28"/>
          <w:szCs w:val="28"/>
        </w:rPr>
        <w:tab/>
        <w:t xml:space="preserve">- </w:t>
      </w:r>
      <w:r w:rsidRPr="00FB6DBD">
        <w:rPr>
          <w:sz w:val="28"/>
          <w:szCs w:val="28"/>
        </w:rPr>
        <w:t xml:space="preserve">парична сума, преведена по банкова сметка на Министерство на здравеопазването – БНБ Централно управление </w:t>
      </w:r>
      <w:r w:rsidRPr="00566511">
        <w:rPr>
          <w:sz w:val="28"/>
          <w:szCs w:val="28"/>
        </w:rPr>
        <w:t>IBAN: BG83 BNBG 9661 3000 1293 01, BIC код на БНБ – BNBG BGSD</w:t>
      </w:r>
      <w:r w:rsidRPr="00FB6DBD">
        <w:rPr>
          <w:sz w:val="28"/>
          <w:szCs w:val="28"/>
        </w:rPr>
        <w:t xml:space="preserve"> – платежно нареждане  в оригинал или копие.</w:t>
      </w:r>
    </w:p>
    <w:p w:rsidR="00544FDC" w:rsidRPr="002B1C79" w:rsidRDefault="00544FDC" w:rsidP="00544FDC">
      <w:pPr>
        <w:pStyle w:val="BodyText"/>
        <w:spacing w:before="100" w:beforeAutospacing="1" w:after="100" w:afterAutospacing="1"/>
        <w:ind w:right="-2"/>
        <w:jc w:val="both"/>
        <w:rPr>
          <w:b/>
        </w:rPr>
      </w:pPr>
      <w:r w:rsidRPr="002B1C79">
        <w:rPr>
          <w:b/>
        </w:rPr>
        <w:lastRenderedPageBreak/>
        <w:t>3.Доказателства за икономическото и финансово състояние:</w:t>
      </w:r>
    </w:p>
    <w:p w:rsidR="00544FDC" w:rsidRDefault="00544FDC" w:rsidP="00544FDC">
      <w:pPr>
        <w:pStyle w:val="BodyText"/>
        <w:numPr>
          <w:ilvl w:val="1"/>
          <w:numId w:val="3"/>
        </w:numPr>
        <w:tabs>
          <w:tab w:val="clear" w:pos="2160"/>
          <w:tab w:val="num" w:pos="426"/>
        </w:tabs>
        <w:spacing w:before="100" w:beforeAutospacing="1" w:after="100" w:afterAutospacing="1"/>
        <w:ind w:left="0" w:right="-2" w:firstLine="0"/>
        <w:jc w:val="both"/>
      </w:pPr>
      <w:r>
        <w:t xml:space="preserve"> Заверени</w:t>
      </w:r>
      <w:r w:rsidRPr="004332D9">
        <w:t xml:space="preserve"> </w:t>
      </w:r>
      <w:r>
        <w:t>от участника копия</w:t>
      </w:r>
      <w:r w:rsidRPr="004332D9">
        <w:t xml:space="preserve"> </w:t>
      </w:r>
      <w:r>
        <w:t>на</w:t>
      </w:r>
      <w:r w:rsidRPr="004332D9">
        <w:t xml:space="preserve"> </w:t>
      </w:r>
      <w:r w:rsidR="00044CEB">
        <w:t xml:space="preserve">годишният му </w:t>
      </w:r>
      <w:r w:rsidRPr="004332D9">
        <w:t xml:space="preserve"> </w:t>
      </w:r>
      <w:r w:rsidRPr="003D4B68">
        <w:t>счетоводен баланс</w:t>
      </w:r>
      <w:r>
        <w:t xml:space="preserve"> и отчета за приходи и разходи</w:t>
      </w:r>
      <w:r w:rsidR="00B55542">
        <w:t xml:space="preserve"> за 2009г.</w:t>
      </w:r>
      <w:r>
        <w:t xml:space="preserve">, </w:t>
      </w:r>
      <w:r w:rsidRPr="004332D9">
        <w:t>заверен</w:t>
      </w:r>
      <w:r>
        <w:t>и</w:t>
      </w:r>
      <w:r w:rsidRPr="004332D9">
        <w:t xml:space="preserve"> от експерт счетоводител, в случаите предвидени в Закона за счетоводство</w:t>
      </w:r>
      <w:r>
        <w:t>то.</w:t>
      </w:r>
      <w:r w:rsidRPr="004332D9">
        <w:t xml:space="preserve"> В случаите на </w:t>
      </w:r>
      <w:proofErr w:type="spellStart"/>
      <w:r w:rsidRPr="004332D9">
        <w:t>новорегистрирани</w:t>
      </w:r>
      <w:proofErr w:type="spellEnd"/>
      <w:r w:rsidRPr="004332D9">
        <w:t xml:space="preserve"> търговски дружества и в случаите, когато </w:t>
      </w:r>
      <w:r>
        <w:t>участникът</w:t>
      </w:r>
      <w:r w:rsidRPr="004332D9">
        <w:t xml:space="preserve"> не е юридическо лице</w:t>
      </w:r>
      <w:r>
        <w:t>,</w:t>
      </w:r>
      <w:r w:rsidRPr="004332D9">
        <w:t xml:space="preserve"> такива документи не се изискват</w:t>
      </w:r>
      <w:r>
        <w:t>.</w:t>
      </w:r>
    </w:p>
    <w:p w:rsidR="00544FDC" w:rsidRDefault="00544FDC" w:rsidP="00544FDC">
      <w:pPr>
        <w:pStyle w:val="BodyText"/>
        <w:spacing w:before="100" w:beforeAutospacing="1" w:after="100" w:afterAutospacing="1"/>
        <w:ind w:right="-2"/>
        <w:jc w:val="both"/>
      </w:pPr>
    </w:p>
    <w:p w:rsidR="00544FDC" w:rsidRDefault="00544FDC" w:rsidP="00544FDC">
      <w:pPr>
        <w:pStyle w:val="BodyText"/>
        <w:spacing w:before="100" w:beforeAutospacing="1" w:after="100" w:afterAutospacing="1"/>
        <w:ind w:right="-2"/>
        <w:jc w:val="both"/>
        <w:rPr>
          <w:b/>
        </w:rPr>
      </w:pPr>
      <w:r w:rsidRPr="002B1C79">
        <w:rPr>
          <w:b/>
        </w:rPr>
        <w:t>4.</w:t>
      </w:r>
      <w:r>
        <w:rPr>
          <w:b/>
        </w:rPr>
        <w:t xml:space="preserve"> </w:t>
      </w:r>
      <w:r w:rsidRPr="002B1C79">
        <w:rPr>
          <w:b/>
        </w:rPr>
        <w:t>Доказателства за техническите възможности за изпълнение на поръчката:</w:t>
      </w:r>
    </w:p>
    <w:p w:rsidR="00544FDC" w:rsidRDefault="00544FDC" w:rsidP="00544FDC">
      <w:pPr>
        <w:pStyle w:val="BodyText"/>
        <w:spacing w:before="100" w:beforeAutospacing="1" w:after="100" w:afterAutospacing="1"/>
        <w:ind w:right="-2"/>
        <w:jc w:val="both"/>
      </w:pPr>
      <w:r w:rsidRPr="001E775D">
        <w:t>4.1 Заверено от участника копие на валидно разрешение за употреба в страната, издадено по реда на ЗЛПХМ или Регламент (EO) № 726/ 2004 г. на Европейския парламент и Съвета /чл. 23, ал.1 на ЗЛПХМ/ и одобрена кратка характеристика на продукта. В случа</w:t>
      </w:r>
      <w:r w:rsidR="001E775D" w:rsidRPr="001E775D">
        <w:t xml:space="preserve">ите по </w:t>
      </w:r>
      <w:r w:rsidRPr="001E775D">
        <w:t xml:space="preserve">чл. 55, ал. 6 от ЗЛПХМ, </w:t>
      </w:r>
      <w:r w:rsidR="001E775D" w:rsidRPr="001E775D">
        <w:t xml:space="preserve">участникът декларира, </w:t>
      </w:r>
      <w:r w:rsidRPr="001E775D">
        <w:t xml:space="preserve">че количествата за </w:t>
      </w:r>
      <w:r w:rsidR="001E775D" w:rsidRPr="001E775D">
        <w:t>лекарствения продукт са налични.</w:t>
      </w:r>
    </w:p>
    <w:p w:rsidR="00544FDC" w:rsidRPr="00540AC4" w:rsidRDefault="00544FDC" w:rsidP="00544FDC">
      <w:pPr>
        <w:pStyle w:val="BodyText"/>
        <w:tabs>
          <w:tab w:val="num" w:pos="567"/>
        </w:tabs>
        <w:spacing w:before="100" w:beforeAutospacing="1" w:after="100" w:afterAutospacing="1"/>
        <w:ind w:right="-2"/>
        <w:jc w:val="both"/>
        <w:rPr>
          <w:color w:val="000000"/>
        </w:rPr>
      </w:pPr>
      <w:r>
        <w:rPr>
          <w:color w:val="000000"/>
        </w:rPr>
        <w:t xml:space="preserve">5. </w:t>
      </w:r>
      <w:r w:rsidRPr="00B94FAA">
        <w:rPr>
          <w:color w:val="000000"/>
        </w:rPr>
        <w:t>В случай, че при изпълнението на поръчката ще участва подизпълнител е</w:t>
      </w:r>
      <w:r w:rsidRPr="00540AC4">
        <w:rPr>
          <w:color w:val="000000"/>
        </w:rPr>
        <w:t xml:space="preserve"> необходимо да бъде изрично заявено това обстоятелство</w:t>
      </w:r>
      <w:r w:rsidRPr="00F75E2F">
        <w:t xml:space="preserve">, както и </w:t>
      </w:r>
      <w:r w:rsidRPr="00F75E2F">
        <w:rPr>
          <w:highlight w:val="white"/>
          <w:shd w:val="clear" w:color="auto" w:fill="FEFEFE"/>
        </w:rPr>
        <w:t>вида на работите, които ще извършва</w:t>
      </w:r>
      <w:r w:rsidRPr="00F75E2F">
        <w:t xml:space="preserve"> и делът на неговото участие. За </w:t>
      </w:r>
      <w:r>
        <w:rPr>
          <w:color w:val="000000"/>
        </w:rPr>
        <w:t>с</w:t>
      </w:r>
      <w:r w:rsidRPr="00540AC4">
        <w:rPr>
          <w:color w:val="000000"/>
        </w:rPr>
        <w:t xml:space="preserve">ъответния подизпълнител следва да </w:t>
      </w:r>
      <w:r>
        <w:rPr>
          <w:color w:val="000000"/>
        </w:rPr>
        <w:t xml:space="preserve">бъдат </w:t>
      </w:r>
      <w:r w:rsidRPr="00540AC4">
        <w:rPr>
          <w:color w:val="000000"/>
        </w:rPr>
        <w:t>представ</w:t>
      </w:r>
      <w:r>
        <w:rPr>
          <w:color w:val="000000"/>
        </w:rPr>
        <w:t>ени</w:t>
      </w:r>
      <w:r w:rsidRPr="00540AC4">
        <w:rPr>
          <w:color w:val="000000"/>
        </w:rPr>
        <w:t xml:space="preserve"> докуме</w:t>
      </w:r>
      <w:r>
        <w:rPr>
          <w:color w:val="000000"/>
        </w:rPr>
        <w:t xml:space="preserve">нтите по чл. 56, ал. 1, т. 1, 3, 4 и 5 </w:t>
      </w:r>
      <w:r w:rsidRPr="00540AC4">
        <w:rPr>
          <w:color w:val="000000"/>
        </w:rPr>
        <w:t>от Закона за обществените поръчки</w:t>
      </w:r>
      <w:r>
        <w:rPr>
          <w:color w:val="000000"/>
        </w:rPr>
        <w:t>.</w:t>
      </w:r>
    </w:p>
    <w:p w:rsidR="00544FDC" w:rsidRDefault="00544FDC" w:rsidP="00544FDC">
      <w:pPr>
        <w:pStyle w:val="BodyText"/>
        <w:spacing w:before="100" w:beforeAutospacing="1" w:after="100" w:afterAutospacing="1"/>
        <w:ind w:right="-2"/>
        <w:jc w:val="both"/>
        <w:rPr>
          <w:color w:val="000000"/>
        </w:rPr>
      </w:pPr>
      <w:r>
        <w:rPr>
          <w:color w:val="000000"/>
        </w:rPr>
        <w:t xml:space="preserve">6. </w:t>
      </w:r>
      <w:r w:rsidRPr="00540AC4">
        <w:rPr>
          <w:color w:val="000000"/>
        </w:rPr>
        <w:t xml:space="preserve">В случаите, когато </w:t>
      </w:r>
      <w:r>
        <w:rPr>
          <w:color w:val="000000"/>
        </w:rPr>
        <w:t>участникът</w:t>
      </w:r>
      <w:r w:rsidRPr="00540AC4">
        <w:rPr>
          <w:color w:val="000000"/>
        </w:rPr>
        <w:t xml:space="preserve"> е обединение, което не е юридическо лице  за всеки един от участниците в обединението следва да бъдат представени документи</w:t>
      </w:r>
      <w:r>
        <w:rPr>
          <w:color w:val="000000"/>
        </w:rPr>
        <w:t>те</w:t>
      </w:r>
      <w:r w:rsidRPr="00540AC4">
        <w:rPr>
          <w:color w:val="000000"/>
        </w:rPr>
        <w:t xml:space="preserve"> </w:t>
      </w:r>
      <w:r>
        <w:rPr>
          <w:color w:val="000000"/>
        </w:rPr>
        <w:t>чл. 56, ал. 1, т. 1, 3, 4 и 5</w:t>
      </w:r>
      <w:r w:rsidRPr="00540AC4">
        <w:rPr>
          <w:color w:val="000000"/>
        </w:rPr>
        <w:t xml:space="preserve"> от З</w:t>
      </w:r>
      <w:r>
        <w:rPr>
          <w:color w:val="000000"/>
        </w:rPr>
        <w:t>акона за обществените поръчки</w:t>
      </w:r>
      <w:r w:rsidRPr="00540AC4">
        <w:rPr>
          <w:color w:val="000000"/>
        </w:rPr>
        <w:t>, както и документ, удостоверяващ предприети действия за регистрация на юридическо лице.</w:t>
      </w:r>
    </w:p>
    <w:p w:rsidR="00544FDC" w:rsidRPr="002B0933" w:rsidRDefault="00544FDC" w:rsidP="00544FDC">
      <w:pPr>
        <w:pStyle w:val="BodyText"/>
        <w:spacing w:before="100" w:beforeAutospacing="1" w:after="100" w:afterAutospacing="1"/>
        <w:ind w:right="-2"/>
        <w:jc w:val="both"/>
        <w:rPr>
          <w:iCs/>
        </w:rPr>
      </w:pPr>
      <w:r>
        <w:t>7. Точен адрес, лице, е-</w:t>
      </w:r>
      <w:r>
        <w:rPr>
          <w:lang w:val="en-US"/>
        </w:rPr>
        <w:t>mail</w:t>
      </w:r>
      <w:r w:rsidRPr="00895C12">
        <w:rPr>
          <w:lang w:val="ru-RU"/>
        </w:rPr>
        <w:t xml:space="preserve"> </w:t>
      </w:r>
      <w:r>
        <w:t xml:space="preserve">и телефон за контакти и банкови реквизити на участника </w:t>
      </w:r>
      <w:r w:rsidRPr="00AF0EF1">
        <w:rPr>
          <w:i/>
          <w:iCs/>
        </w:rPr>
        <w:t>(образец №</w:t>
      </w:r>
      <w:r>
        <w:rPr>
          <w:i/>
          <w:iCs/>
        </w:rPr>
        <w:t>2</w:t>
      </w:r>
      <w:r w:rsidRPr="00AF0EF1">
        <w:rPr>
          <w:i/>
          <w:iCs/>
        </w:rPr>
        <w:t>).</w:t>
      </w:r>
    </w:p>
    <w:p w:rsidR="00544FDC" w:rsidRDefault="00544FDC" w:rsidP="00544FDC">
      <w:pPr>
        <w:pStyle w:val="BodyText"/>
        <w:spacing w:before="100" w:beforeAutospacing="1" w:after="100" w:afterAutospacing="1"/>
        <w:ind w:right="-2"/>
        <w:jc w:val="both"/>
      </w:pPr>
      <w:r>
        <w:t>8. Документ, удостоверяващ закупуването на документация за участие в обществената поръчка.</w:t>
      </w:r>
    </w:p>
    <w:p w:rsidR="00544FDC" w:rsidRDefault="00544FDC" w:rsidP="00544FDC">
      <w:pPr>
        <w:pStyle w:val="BodyText"/>
        <w:spacing w:before="100" w:beforeAutospacing="1" w:after="100" w:afterAutospacing="1"/>
        <w:ind w:right="-2"/>
        <w:jc w:val="both"/>
      </w:pPr>
      <w:r>
        <w:t>9.Списък на документите, съдържащи се в офертата, подписан от участника (прилага се в началото на офертата, преди всички документи).</w:t>
      </w:r>
    </w:p>
    <w:p w:rsidR="00544FDC" w:rsidRPr="00C627F3" w:rsidRDefault="00544FDC" w:rsidP="00544FDC">
      <w:pPr>
        <w:pStyle w:val="BodyText"/>
        <w:spacing w:before="100" w:beforeAutospacing="1" w:after="100" w:afterAutospacing="1"/>
        <w:ind w:right="-2"/>
        <w:jc w:val="both"/>
        <w:rPr>
          <w:b/>
          <w:color w:val="000000"/>
          <w:u w:val="single"/>
        </w:rPr>
      </w:pPr>
      <w:r w:rsidRPr="00C627F3">
        <w:rPr>
          <w:b/>
          <w:color w:val="000000"/>
          <w:u w:val="single"/>
        </w:rPr>
        <w:t>Плик № 2 с надпис „ПРЕДЛОЖЕНИЕ ЗА ИЗПЪЛНЕНИЕ НА ПОРЪЧКАТА”</w:t>
      </w:r>
    </w:p>
    <w:p w:rsidR="00544FDC" w:rsidRPr="00594CBC" w:rsidRDefault="00544FDC" w:rsidP="00544FDC">
      <w:pPr>
        <w:pStyle w:val="BodyText"/>
        <w:spacing w:before="100" w:beforeAutospacing="1" w:after="100" w:afterAutospacing="1"/>
        <w:ind w:right="-2"/>
        <w:jc w:val="both"/>
      </w:pPr>
      <w:r w:rsidRPr="00594CBC">
        <w:t xml:space="preserve">В плика се поставя </w:t>
      </w:r>
      <w:r w:rsidRPr="00594CBC">
        <w:rPr>
          <w:highlight w:val="white"/>
          <w:shd w:val="clear" w:color="auto" w:fill="FEFEFE"/>
        </w:rPr>
        <w:t>документите, свързани с изпълнението на поръчката</w:t>
      </w:r>
      <w:r w:rsidRPr="00594CBC">
        <w:rPr>
          <w:shd w:val="clear" w:color="auto" w:fill="FEFEFE"/>
        </w:rPr>
        <w:t>:</w:t>
      </w:r>
    </w:p>
    <w:p w:rsidR="00544FDC" w:rsidRDefault="00544FDC" w:rsidP="00544FDC">
      <w:pPr>
        <w:pStyle w:val="BodyText"/>
        <w:spacing w:before="100" w:beforeAutospacing="1" w:after="100" w:afterAutospacing="1"/>
        <w:ind w:right="-2"/>
        <w:jc w:val="both"/>
      </w:pPr>
      <w:r>
        <w:t>1.Техническо предложение на участника относно общите условия и техническите изисквания за изпълнение на поръчката:</w:t>
      </w:r>
    </w:p>
    <w:p w:rsidR="00544FDC" w:rsidRPr="00906D27" w:rsidRDefault="00544FDC" w:rsidP="00544FDC">
      <w:pPr>
        <w:pStyle w:val="BodyText"/>
        <w:tabs>
          <w:tab w:val="num" w:pos="567"/>
        </w:tabs>
        <w:spacing w:before="100" w:beforeAutospacing="1" w:after="100" w:afterAutospacing="1"/>
        <w:ind w:right="-2"/>
        <w:jc w:val="both"/>
      </w:pPr>
      <w:r>
        <w:lastRenderedPageBreak/>
        <w:t xml:space="preserve"> </w:t>
      </w:r>
      <w:r w:rsidRPr="00EF2DBE">
        <w:rPr>
          <w:lang w:val="ru-RU"/>
        </w:rPr>
        <w:t xml:space="preserve">- </w:t>
      </w:r>
      <w:r w:rsidRPr="003A58AC">
        <w:t>предмет на офертата</w:t>
      </w:r>
      <w:r w:rsidRPr="003C73CD">
        <w:t xml:space="preserve"> </w:t>
      </w:r>
      <w:r>
        <w:t>(</w:t>
      </w:r>
      <w:r w:rsidRPr="003A58AC">
        <w:t>лекарствен продукт</w:t>
      </w:r>
      <w:r>
        <w:t>)</w:t>
      </w:r>
      <w:r w:rsidRPr="003A58AC">
        <w:t xml:space="preserve"> и оферирано количество</w:t>
      </w:r>
      <w:r>
        <w:t>;</w:t>
      </w:r>
      <w:r w:rsidRPr="00906D27">
        <w:t xml:space="preserve"> </w:t>
      </w:r>
    </w:p>
    <w:p w:rsidR="00544FDC" w:rsidRDefault="00544FDC" w:rsidP="00544FDC">
      <w:pPr>
        <w:pStyle w:val="BodyText"/>
        <w:tabs>
          <w:tab w:val="num" w:pos="567"/>
        </w:tabs>
        <w:spacing w:before="100" w:beforeAutospacing="1" w:after="100" w:afterAutospacing="1"/>
        <w:ind w:right="-2"/>
        <w:jc w:val="both"/>
        <w:rPr>
          <w:color w:val="000000"/>
        </w:rPr>
      </w:pPr>
      <w:r w:rsidRPr="00922EF4">
        <w:rPr>
          <w:color w:val="000000"/>
        </w:rPr>
        <w:t xml:space="preserve"> </w:t>
      </w:r>
      <w:r>
        <w:rPr>
          <w:color w:val="000000"/>
        </w:rPr>
        <w:t>-</w:t>
      </w:r>
      <w:r w:rsidRPr="00922EF4">
        <w:rPr>
          <w:color w:val="000000"/>
        </w:rPr>
        <w:t xml:space="preserve"> срок на валидност на офертата, който не може да бъде по – кратък от </w:t>
      </w:r>
      <w:r>
        <w:rPr>
          <w:color w:val="000000"/>
        </w:rPr>
        <w:t>9</w:t>
      </w:r>
      <w:r w:rsidRPr="00922EF4">
        <w:rPr>
          <w:color w:val="000000"/>
        </w:rPr>
        <w:t xml:space="preserve">0 календарни дни от крайния срок за получаване на оферти; </w:t>
      </w:r>
    </w:p>
    <w:p w:rsidR="00544FDC" w:rsidRDefault="00544FDC" w:rsidP="00544FDC">
      <w:pPr>
        <w:pStyle w:val="BodyText"/>
        <w:tabs>
          <w:tab w:val="num" w:pos="567"/>
        </w:tabs>
        <w:spacing w:before="100" w:beforeAutospacing="1" w:after="100" w:afterAutospacing="1"/>
        <w:ind w:right="-2"/>
        <w:jc w:val="both"/>
        <w:rPr>
          <w:color w:val="000000"/>
        </w:rPr>
      </w:pPr>
      <w:r>
        <w:rPr>
          <w:color w:val="000000"/>
        </w:rPr>
        <w:t xml:space="preserve">- </w:t>
      </w:r>
      <w:r w:rsidRPr="00922EF4">
        <w:rPr>
          <w:color w:val="000000"/>
        </w:rPr>
        <w:t xml:space="preserve">срок за изпълнение на поръчката; </w:t>
      </w:r>
    </w:p>
    <w:p w:rsidR="00544FDC" w:rsidRDefault="00544FDC" w:rsidP="00544FDC">
      <w:pPr>
        <w:pStyle w:val="BodyText"/>
        <w:tabs>
          <w:tab w:val="num" w:pos="567"/>
        </w:tabs>
        <w:spacing w:before="100" w:beforeAutospacing="1" w:after="100" w:afterAutospacing="1"/>
        <w:ind w:right="-2"/>
        <w:jc w:val="both"/>
        <w:rPr>
          <w:color w:val="000000"/>
        </w:rPr>
      </w:pPr>
      <w:r>
        <w:rPr>
          <w:color w:val="000000"/>
        </w:rPr>
        <w:t xml:space="preserve">- </w:t>
      </w:r>
      <w:r w:rsidRPr="00922EF4">
        <w:rPr>
          <w:color w:val="000000"/>
        </w:rPr>
        <w:t xml:space="preserve">срок и начин за плащане; </w:t>
      </w:r>
    </w:p>
    <w:p w:rsidR="00544FDC" w:rsidRDefault="00544FDC" w:rsidP="00544FDC">
      <w:pPr>
        <w:pStyle w:val="BodyText"/>
        <w:tabs>
          <w:tab w:val="num" w:pos="567"/>
        </w:tabs>
        <w:spacing w:before="100" w:beforeAutospacing="1" w:after="100" w:afterAutospacing="1"/>
        <w:ind w:right="-2"/>
        <w:jc w:val="both"/>
        <w:rPr>
          <w:color w:val="000000"/>
        </w:rPr>
      </w:pPr>
      <w:r>
        <w:rPr>
          <w:color w:val="000000"/>
        </w:rPr>
        <w:t xml:space="preserve">- </w:t>
      </w:r>
      <w:r w:rsidRPr="00922EF4">
        <w:rPr>
          <w:color w:val="000000"/>
        </w:rPr>
        <w:t>срок на годност</w:t>
      </w:r>
      <w:r>
        <w:rPr>
          <w:color w:val="000000"/>
        </w:rPr>
        <w:t xml:space="preserve"> на предлаганите лекарствени продукти</w:t>
      </w:r>
      <w:r w:rsidRPr="00922EF4">
        <w:rPr>
          <w:color w:val="000000"/>
        </w:rPr>
        <w:t xml:space="preserve">; </w:t>
      </w:r>
    </w:p>
    <w:p w:rsidR="00544FDC" w:rsidRDefault="00544FDC" w:rsidP="00544FDC">
      <w:pPr>
        <w:pStyle w:val="BodyText"/>
        <w:tabs>
          <w:tab w:val="num" w:pos="567"/>
        </w:tabs>
        <w:spacing w:before="100" w:beforeAutospacing="1" w:after="100" w:afterAutospacing="1"/>
        <w:ind w:right="-2"/>
        <w:jc w:val="both"/>
        <w:rPr>
          <w:color w:val="000000"/>
        </w:rPr>
      </w:pPr>
      <w:r w:rsidRPr="007C4660">
        <w:t>- д</w:t>
      </w:r>
      <w:r w:rsidRPr="00441E82">
        <w:rPr>
          <w:color w:val="000000"/>
        </w:rPr>
        <w:t xml:space="preserve">екларация </w:t>
      </w:r>
      <w:r w:rsidRPr="005878E0">
        <w:t xml:space="preserve">от </w:t>
      </w:r>
      <w:r w:rsidR="00451094">
        <w:t xml:space="preserve">участника, че ще </w:t>
      </w:r>
      <w:r w:rsidRPr="00441E82">
        <w:rPr>
          <w:color w:val="000000"/>
        </w:rPr>
        <w:t>осигур</w:t>
      </w:r>
      <w:r w:rsidR="00451094">
        <w:rPr>
          <w:color w:val="000000"/>
        </w:rPr>
        <w:t xml:space="preserve">и в пълен обем </w:t>
      </w:r>
      <w:r w:rsidRPr="00441E82">
        <w:rPr>
          <w:color w:val="000000"/>
        </w:rPr>
        <w:t xml:space="preserve">необходимите </w:t>
      </w:r>
      <w:r w:rsidRPr="00451094">
        <w:rPr>
          <w:color w:val="000000"/>
        </w:rPr>
        <w:t>количества.</w:t>
      </w:r>
      <w:r w:rsidRPr="00441E82">
        <w:rPr>
          <w:color w:val="000000"/>
        </w:rPr>
        <w:t xml:space="preserve"> </w:t>
      </w:r>
    </w:p>
    <w:p w:rsidR="00544FDC" w:rsidRDefault="00544FDC" w:rsidP="00544FDC">
      <w:pPr>
        <w:pStyle w:val="BodyText"/>
        <w:spacing w:before="100" w:beforeAutospacing="1" w:after="100" w:afterAutospacing="1"/>
        <w:ind w:right="-2"/>
        <w:jc w:val="both"/>
      </w:pPr>
      <w:r>
        <w:t>Предложението се подписва от законния представител на участника или от изрично упълномощено от него лице.</w:t>
      </w:r>
    </w:p>
    <w:p w:rsidR="00544FDC" w:rsidRPr="0034277C" w:rsidRDefault="00544FDC" w:rsidP="00544FDC">
      <w:pPr>
        <w:pStyle w:val="BodyText"/>
        <w:spacing w:before="100" w:beforeAutospacing="1" w:after="100" w:afterAutospacing="1"/>
        <w:ind w:right="-2"/>
        <w:jc w:val="both"/>
      </w:pPr>
      <w:r w:rsidRPr="004332D9">
        <w:rPr>
          <w:b/>
          <w:bCs/>
          <w:u w:val="single"/>
        </w:rPr>
        <w:t xml:space="preserve">Плик № </w:t>
      </w:r>
      <w:r>
        <w:rPr>
          <w:b/>
          <w:bCs/>
          <w:u w:val="single"/>
        </w:rPr>
        <w:t>3 с надпис “ПРЕДЛАГАНА ЦЕНА”</w:t>
      </w:r>
    </w:p>
    <w:p w:rsidR="00544FDC" w:rsidRPr="00540AC4" w:rsidRDefault="00544FDC" w:rsidP="00544FDC">
      <w:pPr>
        <w:pStyle w:val="BodyText"/>
        <w:spacing w:before="100" w:beforeAutospacing="1" w:after="100" w:afterAutospacing="1"/>
        <w:ind w:right="-2"/>
        <w:jc w:val="both"/>
        <w:rPr>
          <w:color w:val="000000"/>
        </w:rPr>
      </w:pPr>
      <w:r w:rsidRPr="00540AC4">
        <w:rPr>
          <w:color w:val="000000"/>
        </w:rPr>
        <w:t xml:space="preserve">Финансовата оферта на </w:t>
      </w:r>
      <w:r>
        <w:rPr>
          <w:color w:val="000000"/>
        </w:rPr>
        <w:t>участник</w:t>
      </w:r>
      <w:r w:rsidRPr="00540AC4">
        <w:rPr>
          <w:color w:val="000000"/>
        </w:rPr>
        <w:t>а съдържа:</w:t>
      </w:r>
    </w:p>
    <w:p w:rsidR="00544FDC" w:rsidRPr="00872909" w:rsidRDefault="00544FDC" w:rsidP="00544FDC">
      <w:pPr>
        <w:pStyle w:val="BodyText"/>
        <w:autoSpaceDE/>
        <w:autoSpaceDN/>
        <w:spacing w:before="100" w:beforeAutospacing="1" w:after="100" w:afterAutospacing="1"/>
        <w:ind w:right="-2"/>
        <w:jc w:val="both"/>
      </w:pPr>
      <w:r w:rsidRPr="00872909">
        <w:t>1. Цена за единица мярка</w:t>
      </w:r>
      <w:r w:rsidRPr="00872909">
        <w:rPr>
          <w:i/>
          <w:iCs/>
        </w:rPr>
        <w:t xml:space="preserve"> </w:t>
      </w:r>
      <w:r w:rsidRPr="00872909">
        <w:t xml:space="preserve">(лекарствено вещество или </w:t>
      </w:r>
      <w:r w:rsidRPr="00872909">
        <w:rPr>
          <w:lang w:val="en-US"/>
        </w:rPr>
        <w:t>DDD</w:t>
      </w:r>
      <w:r w:rsidRPr="00872909">
        <w:t xml:space="preserve">, </w:t>
      </w:r>
      <w:r w:rsidRPr="00872909">
        <w:rPr>
          <w:lang w:val="en-US"/>
        </w:rPr>
        <w:t>TDD</w:t>
      </w:r>
      <w:r w:rsidRPr="00872909">
        <w:rPr>
          <w:i/>
          <w:iCs/>
        </w:rPr>
        <w:t>)</w:t>
      </w:r>
      <w:r w:rsidRPr="00872909">
        <w:t xml:space="preserve"> на предлагания продукт по международно непатентно наименование (</w:t>
      </w:r>
      <w:r w:rsidRPr="00872909">
        <w:rPr>
          <w:lang w:val="en-US"/>
        </w:rPr>
        <w:t>INN</w:t>
      </w:r>
      <w:r w:rsidRPr="00872909">
        <w:t>) съгласно спецификацията,</w:t>
      </w:r>
      <w:r w:rsidRPr="00872909">
        <w:rPr>
          <w:b/>
          <w:bCs/>
        </w:rPr>
        <w:t xml:space="preserve"> с</w:t>
      </w:r>
      <w:r w:rsidRPr="00872909">
        <w:t xml:space="preserve"> включен ДДС, </w:t>
      </w:r>
      <w:r w:rsidRPr="00872909">
        <w:rPr>
          <w:b/>
          <w:bCs/>
        </w:rPr>
        <w:t xml:space="preserve">изчислена въз основа на предложената цена за лекарствен продукт по търговско наименование </w:t>
      </w:r>
      <w:r w:rsidRPr="00872909">
        <w:t>и с включени надценки за търговец на едро в съответствие с изискванията на Наредбата за условията, правилата и реда за регулиране и регистриране на цените на лекарствените продукти</w:t>
      </w:r>
      <w:r w:rsidRPr="00872909">
        <w:rPr>
          <w:bCs/>
        </w:rPr>
        <w:t>.</w:t>
      </w:r>
      <w:r w:rsidRPr="00872909">
        <w:t xml:space="preserve"> Цената </w:t>
      </w:r>
      <w:r w:rsidRPr="00872909">
        <w:rPr>
          <w:b/>
          <w:bCs/>
        </w:rPr>
        <w:t>с</w:t>
      </w:r>
      <w:r w:rsidRPr="00872909">
        <w:t xml:space="preserve"> </w:t>
      </w:r>
      <w:r w:rsidRPr="00872909">
        <w:rPr>
          <w:b/>
          <w:bCs/>
        </w:rPr>
        <w:t>ДДС</w:t>
      </w:r>
      <w:r w:rsidRPr="00872909">
        <w:t xml:space="preserve"> да бъде записана с брой знаци след десетичната запетая, съответстващ на броя на знаците в максималната стойност по чл.7 от Наредбата, посочен в спецификацията. Цифрите се изписват и с думи, като при несъответствие се взема предвид изписаната с думи цена.</w:t>
      </w:r>
    </w:p>
    <w:p w:rsidR="00544FDC" w:rsidRPr="00872909" w:rsidRDefault="00544FDC" w:rsidP="00544FDC">
      <w:pPr>
        <w:pStyle w:val="BodyText"/>
        <w:tabs>
          <w:tab w:val="left" w:pos="284"/>
        </w:tabs>
        <w:autoSpaceDE/>
        <w:autoSpaceDN/>
        <w:spacing w:before="100" w:beforeAutospacing="1" w:after="100" w:afterAutospacing="1"/>
        <w:ind w:right="-2"/>
        <w:jc w:val="both"/>
      </w:pPr>
      <w:r w:rsidRPr="00872909">
        <w:t xml:space="preserve">2. Единична цена за предлагания лекарствен продукт по търговско наименование в лева, до втори знак след десетичната запетая, до краен получател </w:t>
      </w:r>
      <w:r w:rsidRPr="00872909">
        <w:rPr>
          <w:b/>
          <w:bCs/>
        </w:rPr>
        <w:t>без</w:t>
      </w:r>
      <w:r w:rsidRPr="00872909">
        <w:t xml:space="preserve"> и </w:t>
      </w:r>
      <w:r w:rsidRPr="00872909">
        <w:rPr>
          <w:b/>
          <w:bCs/>
        </w:rPr>
        <w:t xml:space="preserve">с </w:t>
      </w:r>
      <w:r w:rsidRPr="00872909">
        <w:t xml:space="preserve">включен ДДС. Посочената цена за опаковка на лекарствения продукт не трябва да превишава утвърдената цена </w:t>
      </w:r>
      <w:r>
        <w:t xml:space="preserve">по чл. 258, ал. 1 от ЗЛПХМ </w:t>
      </w:r>
      <w:r w:rsidRPr="00872909">
        <w:t>с включени надценки за търговец на едро в съответствие с изискванията на Наредбата за условията, правилата и реда за регулиране и регистриране на цените на лекарствените продукти. Цифрите се изписват и с думи, като при несъответствие се взема предвид изписаната с думи цена.</w:t>
      </w:r>
    </w:p>
    <w:p w:rsidR="00544FDC" w:rsidRPr="00872909" w:rsidRDefault="00544FDC" w:rsidP="00544FDC">
      <w:pPr>
        <w:pStyle w:val="BodyText"/>
        <w:autoSpaceDE/>
        <w:autoSpaceDN/>
        <w:spacing w:before="100" w:beforeAutospacing="1" w:after="100" w:afterAutospacing="1"/>
        <w:ind w:right="-2"/>
        <w:jc w:val="both"/>
      </w:pPr>
      <w:r w:rsidRPr="00872909">
        <w:t xml:space="preserve">3. Обща стойност на офертата в лева </w:t>
      </w:r>
      <w:r w:rsidRPr="00872909">
        <w:rPr>
          <w:b/>
          <w:bCs/>
        </w:rPr>
        <w:t>с</w:t>
      </w:r>
      <w:r w:rsidRPr="00872909">
        <w:t xml:space="preserve"> включен ДДС, изчислена въз основа на оферираната цена за единица мярка (лекарствено вещество или </w:t>
      </w:r>
      <w:r w:rsidRPr="00872909">
        <w:rPr>
          <w:lang w:val="en-US"/>
        </w:rPr>
        <w:t>DDD</w:t>
      </w:r>
      <w:r w:rsidRPr="00872909">
        <w:t xml:space="preserve">, </w:t>
      </w:r>
      <w:r w:rsidRPr="00872909">
        <w:rPr>
          <w:lang w:val="en-US"/>
        </w:rPr>
        <w:t>TDD</w:t>
      </w:r>
      <w:r w:rsidRPr="00872909">
        <w:t>) на предлагания лекарствен продукт по международно непатентно наименование</w:t>
      </w:r>
      <w:r w:rsidRPr="00872909">
        <w:rPr>
          <w:i/>
          <w:iCs/>
        </w:rPr>
        <w:t>.</w:t>
      </w:r>
      <w:r w:rsidRPr="00872909">
        <w:t xml:space="preserve"> </w:t>
      </w:r>
    </w:p>
    <w:p w:rsidR="00544FDC" w:rsidRPr="00872909" w:rsidRDefault="00544FDC" w:rsidP="00544FDC">
      <w:pPr>
        <w:pStyle w:val="BodyText"/>
        <w:autoSpaceDE/>
        <w:autoSpaceDN/>
        <w:spacing w:before="100" w:beforeAutospacing="1" w:after="100" w:afterAutospacing="1"/>
        <w:ind w:right="-2"/>
        <w:jc w:val="both"/>
      </w:pPr>
      <w:r w:rsidRPr="00872909">
        <w:lastRenderedPageBreak/>
        <w:t xml:space="preserve">4. Участникът може да предоставя натурален </w:t>
      </w:r>
      <w:proofErr w:type="spellStart"/>
      <w:r w:rsidRPr="00872909">
        <w:t>рабат</w:t>
      </w:r>
      <w:proofErr w:type="spellEnd"/>
      <w:r w:rsidRPr="00872909">
        <w:t xml:space="preserve"> в рамките на специфицираното количество по съответната позиция.</w:t>
      </w:r>
    </w:p>
    <w:p w:rsidR="00544FDC" w:rsidRPr="00872909" w:rsidRDefault="00544FDC" w:rsidP="00544FDC">
      <w:pPr>
        <w:pStyle w:val="BodyText"/>
        <w:tabs>
          <w:tab w:val="left" w:pos="567"/>
        </w:tabs>
        <w:ind w:right="-2"/>
        <w:jc w:val="both"/>
      </w:pPr>
      <w:r w:rsidRPr="00872909">
        <w:t>5. Предложената цена не следва да превишава максималната стойност по чл.7 от Наредба №34/2005г. и следва да е съобразена с държавната регулирана цена по реда на чл.258, ал.1 на ЗЛПХМ.</w:t>
      </w:r>
    </w:p>
    <w:p w:rsidR="00544FDC" w:rsidRPr="00872909" w:rsidRDefault="00544FDC" w:rsidP="00544FDC">
      <w:pPr>
        <w:pStyle w:val="BodyText"/>
        <w:autoSpaceDE/>
        <w:autoSpaceDN/>
        <w:spacing w:before="100" w:beforeAutospacing="1" w:after="100" w:afterAutospacing="1"/>
        <w:ind w:right="-2"/>
        <w:jc w:val="both"/>
        <w:rPr>
          <w:rFonts w:ascii="All Times New Roman" w:hAnsi="All Times New Roman" w:cs="All Times New Roman"/>
        </w:rPr>
      </w:pPr>
      <w:r w:rsidRPr="00872909">
        <w:t xml:space="preserve">Максималните стойности по чл.7 са определени към датата на изготвяне на </w:t>
      </w:r>
      <w:r w:rsidRPr="00360FA2">
        <w:t xml:space="preserve">спецификацията </w:t>
      </w:r>
      <w:r w:rsidRPr="00451094">
        <w:t>/</w:t>
      </w:r>
      <w:r w:rsidR="00425E76">
        <w:t>31</w:t>
      </w:r>
      <w:r w:rsidRPr="00451094">
        <w:rPr>
          <w:lang w:val="en-US"/>
        </w:rPr>
        <w:t>.</w:t>
      </w:r>
      <w:r w:rsidR="00B55542">
        <w:t>0</w:t>
      </w:r>
      <w:r w:rsidR="00425E76">
        <w:t>1</w:t>
      </w:r>
      <w:r w:rsidRPr="00451094">
        <w:t>.201</w:t>
      </w:r>
      <w:r w:rsidR="00B55542">
        <w:t>1</w:t>
      </w:r>
      <w:r w:rsidRPr="00451094">
        <w:t xml:space="preserve"> г./</w:t>
      </w:r>
      <w:r w:rsidRPr="00872909">
        <w:t xml:space="preserve"> като са използвани данните от лекарствените листи на страните по чл.5 т.2 от Наредбата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w:t>
      </w:r>
      <w:proofErr w:type="gramStart"/>
      <w:r w:rsidRPr="00872909">
        <w:rPr>
          <w:lang w:val="en-US"/>
        </w:rPr>
        <w:t>Web</w:t>
      </w:r>
      <w:r w:rsidRPr="00872909">
        <w:t>-адресите на лекарствените листи са посочени на интернет страницата на МЗ, рубрика „Комисия по цени”.</w:t>
      </w:r>
      <w:proofErr w:type="gramEnd"/>
      <w:r w:rsidRPr="00872909">
        <w:t xml:space="preserve">  </w:t>
      </w:r>
    </w:p>
    <w:p w:rsidR="00544FDC" w:rsidRPr="00ED13D5" w:rsidRDefault="00544FDC" w:rsidP="00544FDC">
      <w:pPr>
        <w:pStyle w:val="BodyText"/>
        <w:autoSpaceDE/>
        <w:autoSpaceDN/>
        <w:spacing w:before="100" w:beforeAutospacing="1" w:after="100" w:afterAutospacing="1"/>
        <w:ind w:right="-2"/>
        <w:jc w:val="both"/>
        <w:rPr>
          <w:color w:val="000000"/>
        </w:rPr>
      </w:pPr>
      <w:r w:rsidRPr="00ED13D5">
        <w:rPr>
          <w:color w:val="000000"/>
        </w:rPr>
        <w:t xml:space="preserve">6. Предложената цена на лекарствения продукт по търговско наименование следва да включва стойността на стоката, опаковка, застраховка и транспорт до краен получател, при срок на годност не по-малък </w:t>
      </w:r>
      <w:r w:rsidRPr="00ED13D5">
        <w:rPr>
          <w:b/>
          <w:bCs/>
          <w:color w:val="000000"/>
        </w:rPr>
        <w:t>от 60 на сто</w:t>
      </w:r>
      <w:r w:rsidRPr="00ED13D5">
        <w:rPr>
          <w:color w:val="000000"/>
        </w:rPr>
        <w:t xml:space="preserve"> от обявения от производителя към датата на всяка доставка</w:t>
      </w:r>
      <w:r>
        <w:t>.</w:t>
      </w:r>
    </w:p>
    <w:p w:rsidR="00544FDC" w:rsidRDefault="00544FDC" w:rsidP="00544FDC">
      <w:pPr>
        <w:pStyle w:val="BodyText"/>
        <w:autoSpaceDE/>
        <w:autoSpaceDN/>
        <w:spacing w:before="100" w:beforeAutospacing="1" w:after="100" w:afterAutospacing="1"/>
        <w:ind w:right="-2"/>
        <w:jc w:val="both"/>
        <w:rPr>
          <w:color w:val="000000"/>
        </w:rPr>
      </w:pPr>
      <w:r>
        <w:rPr>
          <w:color w:val="000000"/>
        </w:rPr>
        <w:t>7</w:t>
      </w:r>
      <w:r w:rsidRPr="00540AC4">
        <w:rPr>
          <w:color w:val="000000"/>
        </w:rPr>
        <w:t xml:space="preserve">. Валидност на ценовата оферта в календарни дни. Оферта с по-малък срок на валидност от </w:t>
      </w:r>
      <w:r>
        <w:rPr>
          <w:color w:val="000000"/>
        </w:rPr>
        <w:t>посочения в поканата</w:t>
      </w:r>
      <w:r w:rsidRPr="00540AC4">
        <w:rPr>
          <w:color w:val="000000"/>
        </w:rPr>
        <w:t xml:space="preserve"> ще бъде отхвърлена, като несъответстваща на изискванията. </w:t>
      </w:r>
    </w:p>
    <w:p w:rsidR="00FF6497" w:rsidRPr="00540AC4" w:rsidRDefault="00FF6497" w:rsidP="00544FDC">
      <w:pPr>
        <w:pStyle w:val="BodyText"/>
        <w:autoSpaceDE/>
        <w:autoSpaceDN/>
        <w:spacing w:before="100" w:beforeAutospacing="1" w:after="100" w:afterAutospacing="1"/>
        <w:ind w:right="-2"/>
        <w:jc w:val="both"/>
        <w:rPr>
          <w:color w:val="000000"/>
        </w:rPr>
      </w:pPr>
      <w:r>
        <w:rPr>
          <w:color w:val="000000"/>
        </w:rPr>
        <w:t>8. Цената на всяка обособена позиция следва да бъде в отделен запечатан плик и надписана с № на позицията.</w:t>
      </w:r>
    </w:p>
    <w:p w:rsidR="00544FDC" w:rsidRDefault="00544FDC" w:rsidP="00544FDC">
      <w:pPr>
        <w:pStyle w:val="BodyText"/>
        <w:tabs>
          <w:tab w:val="left" w:pos="567"/>
        </w:tabs>
        <w:ind w:right="-2"/>
        <w:jc w:val="both"/>
      </w:pPr>
      <w:r w:rsidRPr="00540AC4">
        <w:tab/>
        <w:t xml:space="preserve"> </w:t>
      </w:r>
      <w:r w:rsidRPr="00540AC4">
        <w:tab/>
        <w:t>Офертата се подписва от законния представител на лицето, което я подава или от изрично упълномощено от него лице.</w:t>
      </w:r>
    </w:p>
    <w:p w:rsidR="00544FDC" w:rsidRPr="00F55C20" w:rsidRDefault="00544FDC" w:rsidP="00544FDC">
      <w:pPr>
        <w:pStyle w:val="BodyText"/>
        <w:tabs>
          <w:tab w:val="left" w:pos="567"/>
        </w:tabs>
        <w:ind w:right="-2"/>
        <w:jc w:val="both"/>
        <w:rPr>
          <w:color w:val="000000"/>
        </w:rPr>
      </w:pPr>
    </w:p>
    <w:p w:rsidR="004D5431" w:rsidRDefault="004D5431"/>
    <w:sectPr w:rsidR="004D5431" w:rsidSect="00C25B18">
      <w:pgSz w:w="11906" w:h="16838"/>
      <w:pgMar w:top="964" w:right="1134" w:bottom="964" w:left="1418"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51E2"/>
    <w:multiLevelType w:val="hybridMultilevel"/>
    <w:tmpl w:val="D4F68094"/>
    <w:lvl w:ilvl="0" w:tplc="C1B4CA06">
      <w:start w:val="3"/>
      <w:numFmt w:val="bullet"/>
      <w:lvlText w:val="-"/>
      <w:lvlJc w:val="left"/>
      <w:pPr>
        <w:tabs>
          <w:tab w:val="num" w:pos="1356"/>
        </w:tabs>
        <w:ind w:left="1356" w:hanging="360"/>
      </w:pPr>
      <w:rPr>
        <w:rFonts w:ascii="Times New Roman" w:eastAsia="Times New Roman" w:hAnsi="Times New Roman" w:hint="default"/>
      </w:rPr>
    </w:lvl>
    <w:lvl w:ilvl="1" w:tplc="04020003">
      <w:start w:val="1"/>
      <w:numFmt w:val="bullet"/>
      <w:lvlText w:val="o"/>
      <w:lvlJc w:val="left"/>
      <w:pPr>
        <w:tabs>
          <w:tab w:val="num" w:pos="2076"/>
        </w:tabs>
        <w:ind w:left="2076" w:hanging="360"/>
      </w:pPr>
      <w:rPr>
        <w:rFonts w:ascii="Courier New" w:hAnsi="Courier New" w:hint="default"/>
      </w:rPr>
    </w:lvl>
    <w:lvl w:ilvl="2" w:tplc="04020005">
      <w:start w:val="1"/>
      <w:numFmt w:val="bullet"/>
      <w:lvlText w:val=""/>
      <w:lvlJc w:val="left"/>
      <w:pPr>
        <w:tabs>
          <w:tab w:val="num" w:pos="2796"/>
        </w:tabs>
        <w:ind w:left="2796" w:hanging="360"/>
      </w:pPr>
      <w:rPr>
        <w:rFonts w:ascii="Wingdings" w:hAnsi="Wingdings" w:hint="default"/>
      </w:rPr>
    </w:lvl>
    <w:lvl w:ilvl="3" w:tplc="04020001">
      <w:start w:val="1"/>
      <w:numFmt w:val="bullet"/>
      <w:lvlText w:val=""/>
      <w:lvlJc w:val="left"/>
      <w:pPr>
        <w:tabs>
          <w:tab w:val="num" w:pos="3516"/>
        </w:tabs>
        <w:ind w:left="3516" w:hanging="360"/>
      </w:pPr>
      <w:rPr>
        <w:rFonts w:ascii="Symbol" w:hAnsi="Symbol" w:hint="default"/>
      </w:rPr>
    </w:lvl>
    <w:lvl w:ilvl="4" w:tplc="04020003">
      <w:start w:val="1"/>
      <w:numFmt w:val="bullet"/>
      <w:lvlText w:val="o"/>
      <w:lvlJc w:val="left"/>
      <w:pPr>
        <w:tabs>
          <w:tab w:val="num" w:pos="4236"/>
        </w:tabs>
        <w:ind w:left="4236" w:hanging="360"/>
      </w:pPr>
      <w:rPr>
        <w:rFonts w:ascii="Courier New" w:hAnsi="Courier New" w:hint="default"/>
      </w:rPr>
    </w:lvl>
    <w:lvl w:ilvl="5" w:tplc="04020005">
      <w:start w:val="1"/>
      <w:numFmt w:val="bullet"/>
      <w:lvlText w:val=""/>
      <w:lvlJc w:val="left"/>
      <w:pPr>
        <w:tabs>
          <w:tab w:val="num" w:pos="4956"/>
        </w:tabs>
        <w:ind w:left="4956" w:hanging="360"/>
      </w:pPr>
      <w:rPr>
        <w:rFonts w:ascii="Wingdings" w:hAnsi="Wingdings" w:hint="default"/>
      </w:rPr>
    </w:lvl>
    <w:lvl w:ilvl="6" w:tplc="04020001">
      <w:start w:val="1"/>
      <w:numFmt w:val="bullet"/>
      <w:lvlText w:val=""/>
      <w:lvlJc w:val="left"/>
      <w:pPr>
        <w:tabs>
          <w:tab w:val="num" w:pos="5676"/>
        </w:tabs>
        <w:ind w:left="5676" w:hanging="360"/>
      </w:pPr>
      <w:rPr>
        <w:rFonts w:ascii="Symbol" w:hAnsi="Symbol" w:hint="default"/>
      </w:rPr>
    </w:lvl>
    <w:lvl w:ilvl="7" w:tplc="04020003">
      <w:start w:val="1"/>
      <w:numFmt w:val="bullet"/>
      <w:lvlText w:val="o"/>
      <w:lvlJc w:val="left"/>
      <w:pPr>
        <w:tabs>
          <w:tab w:val="num" w:pos="6396"/>
        </w:tabs>
        <w:ind w:left="6396" w:hanging="360"/>
      </w:pPr>
      <w:rPr>
        <w:rFonts w:ascii="Courier New" w:hAnsi="Courier New" w:hint="default"/>
      </w:rPr>
    </w:lvl>
    <w:lvl w:ilvl="8" w:tplc="04020005">
      <w:start w:val="1"/>
      <w:numFmt w:val="bullet"/>
      <w:lvlText w:val=""/>
      <w:lvlJc w:val="left"/>
      <w:pPr>
        <w:tabs>
          <w:tab w:val="num" w:pos="7116"/>
        </w:tabs>
        <w:ind w:left="7116" w:hanging="360"/>
      </w:pPr>
      <w:rPr>
        <w:rFonts w:ascii="Wingdings" w:hAnsi="Wingdings" w:hint="default"/>
      </w:rPr>
    </w:lvl>
  </w:abstractNum>
  <w:abstractNum w:abstractNumId="1">
    <w:nsid w:val="22281CDF"/>
    <w:multiLevelType w:val="multilevel"/>
    <w:tmpl w:val="0BEE17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2160"/>
        </w:tabs>
        <w:ind w:left="2160" w:hanging="720"/>
      </w:pPr>
      <w:rPr>
        <w:rFonts w:cs="Times New Roman" w:hint="default"/>
        <w:color w:val="000000"/>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2">
    <w:nsid w:val="2DD90D47"/>
    <w:multiLevelType w:val="multilevel"/>
    <w:tmpl w:val="14A8AF8A"/>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3">
    <w:nsid w:val="43270396"/>
    <w:multiLevelType w:val="singleLevel"/>
    <w:tmpl w:val="9EB864F6"/>
    <w:lvl w:ilvl="0">
      <w:start w:val="2"/>
      <w:numFmt w:val="decimal"/>
      <w:lvlText w:val="%1."/>
      <w:legacy w:legacy="1" w:legacySpace="0" w:legacyIndent="292"/>
      <w:lvlJc w:val="left"/>
      <w:rPr>
        <w:rFonts w:ascii="Times New Roman" w:hAnsi="Times New Roman" w:cs="Times New Roman" w:hint="default"/>
      </w:rPr>
    </w:lvl>
  </w:abstractNum>
  <w:abstractNum w:abstractNumId="4">
    <w:nsid w:val="618273EA"/>
    <w:multiLevelType w:val="hybridMultilevel"/>
    <w:tmpl w:val="C5B651C4"/>
    <w:lvl w:ilvl="0" w:tplc="D0B8B858">
      <w:start w:val="1"/>
      <w:numFmt w:val="decimal"/>
      <w:lvlText w:val="%1."/>
      <w:lvlJc w:val="left"/>
      <w:pPr>
        <w:tabs>
          <w:tab w:val="num" w:pos="720"/>
        </w:tabs>
        <w:ind w:left="720" w:hanging="360"/>
      </w:pPr>
      <w:rPr>
        <w:rFonts w:ascii="Times New Roman" w:eastAsia="Times New Roman" w:hAnsi="Times New Roman"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FDC"/>
    <w:rsid w:val="00041D55"/>
    <w:rsid w:val="00044CEB"/>
    <w:rsid w:val="000A404A"/>
    <w:rsid w:val="000B1FF5"/>
    <w:rsid w:val="001203AC"/>
    <w:rsid w:val="001A5AA6"/>
    <w:rsid w:val="001D468C"/>
    <w:rsid w:val="001E775D"/>
    <w:rsid w:val="002050AC"/>
    <w:rsid w:val="002358C5"/>
    <w:rsid w:val="0026436E"/>
    <w:rsid w:val="002933D0"/>
    <w:rsid w:val="002B7CB4"/>
    <w:rsid w:val="002F0585"/>
    <w:rsid w:val="002F185D"/>
    <w:rsid w:val="00363C01"/>
    <w:rsid w:val="003D7D15"/>
    <w:rsid w:val="004151D6"/>
    <w:rsid w:val="00425E76"/>
    <w:rsid w:val="004447B0"/>
    <w:rsid w:val="00451094"/>
    <w:rsid w:val="004D5431"/>
    <w:rsid w:val="00544FDC"/>
    <w:rsid w:val="00583AC9"/>
    <w:rsid w:val="005D00CB"/>
    <w:rsid w:val="00647C52"/>
    <w:rsid w:val="006A1FAE"/>
    <w:rsid w:val="006B7156"/>
    <w:rsid w:val="0072591F"/>
    <w:rsid w:val="00744539"/>
    <w:rsid w:val="007D3BB4"/>
    <w:rsid w:val="00822955"/>
    <w:rsid w:val="00827EC0"/>
    <w:rsid w:val="00847575"/>
    <w:rsid w:val="0089529C"/>
    <w:rsid w:val="008C6FB6"/>
    <w:rsid w:val="008D065E"/>
    <w:rsid w:val="00930A5A"/>
    <w:rsid w:val="009A0C9C"/>
    <w:rsid w:val="009B5429"/>
    <w:rsid w:val="009F174E"/>
    <w:rsid w:val="00A864E8"/>
    <w:rsid w:val="00AC0545"/>
    <w:rsid w:val="00AE1C52"/>
    <w:rsid w:val="00B55542"/>
    <w:rsid w:val="00C21225"/>
    <w:rsid w:val="00CA558A"/>
    <w:rsid w:val="00DE4216"/>
    <w:rsid w:val="00DF015E"/>
    <w:rsid w:val="00DF11CF"/>
    <w:rsid w:val="00E07641"/>
    <w:rsid w:val="00E26E51"/>
    <w:rsid w:val="00E70104"/>
    <w:rsid w:val="00E71238"/>
    <w:rsid w:val="00E804FE"/>
    <w:rsid w:val="00EA129F"/>
    <w:rsid w:val="00EE17FF"/>
    <w:rsid w:val="00F76BF4"/>
    <w:rsid w:val="00FB1BB7"/>
    <w:rsid w:val="00FC3867"/>
    <w:rsid w:val="00FF6497"/>
    <w:rsid w:val="00FF6D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DC"/>
    <w:pPr>
      <w:autoSpaceDE w:val="0"/>
      <w:autoSpaceDN w:val="0"/>
      <w:spacing w:after="0" w:line="240" w:lineRule="auto"/>
    </w:pPr>
    <w:rPr>
      <w:rFonts w:eastAsia="Times New Roman"/>
      <w:sz w:val="24"/>
      <w:szCs w:val="24"/>
    </w:rPr>
  </w:style>
  <w:style w:type="paragraph" w:styleId="Heading1">
    <w:name w:val="heading 1"/>
    <w:basedOn w:val="Normal"/>
    <w:next w:val="Normal"/>
    <w:link w:val="Heading1Char"/>
    <w:uiPriority w:val="99"/>
    <w:qFormat/>
    <w:rsid w:val="00544FD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FDC"/>
    <w:rPr>
      <w:rFonts w:eastAsia="Times New Roman"/>
      <w:b/>
      <w:bCs/>
      <w:sz w:val="24"/>
      <w:szCs w:val="24"/>
    </w:rPr>
  </w:style>
  <w:style w:type="paragraph" w:styleId="BodyText">
    <w:name w:val="Body Text"/>
    <w:basedOn w:val="Normal"/>
    <w:link w:val="BodyTextChar"/>
    <w:rsid w:val="00544FDC"/>
    <w:rPr>
      <w:sz w:val="28"/>
      <w:szCs w:val="28"/>
    </w:rPr>
  </w:style>
  <w:style w:type="character" w:customStyle="1" w:styleId="BodyTextChar">
    <w:name w:val="Body Text Char"/>
    <w:basedOn w:val="DefaultParagraphFont"/>
    <w:link w:val="BodyText"/>
    <w:rsid w:val="00544FDC"/>
    <w:rPr>
      <w:rFonts w:eastAsia="Times New Roman"/>
    </w:rPr>
  </w:style>
  <w:style w:type="paragraph" w:styleId="BodyText2">
    <w:name w:val="Body Text 2"/>
    <w:basedOn w:val="Normal"/>
    <w:link w:val="BodyText2Char"/>
    <w:uiPriority w:val="99"/>
    <w:rsid w:val="00544FDC"/>
    <w:pPr>
      <w:spacing w:after="120" w:line="480" w:lineRule="auto"/>
    </w:pPr>
  </w:style>
  <w:style w:type="character" w:customStyle="1" w:styleId="BodyText2Char">
    <w:name w:val="Body Text 2 Char"/>
    <w:basedOn w:val="DefaultParagraphFont"/>
    <w:link w:val="BodyText2"/>
    <w:uiPriority w:val="99"/>
    <w:rsid w:val="00544FDC"/>
    <w:rPr>
      <w:rFonts w:eastAsia="Times New Roman"/>
      <w:sz w:val="24"/>
      <w:szCs w:val="24"/>
    </w:rPr>
  </w:style>
  <w:style w:type="paragraph" w:styleId="Footer">
    <w:name w:val="footer"/>
    <w:basedOn w:val="Normal"/>
    <w:link w:val="FooterChar"/>
    <w:uiPriority w:val="99"/>
    <w:rsid w:val="00544FDC"/>
    <w:pPr>
      <w:tabs>
        <w:tab w:val="center" w:pos="4153"/>
        <w:tab w:val="right" w:pos="8306"/>
      </w:tabs>
    </w:pPr>
    <w:rPr>
      <w:sz w:val="20"/>
      <w:szCs w:val="20"/>
      <w:lang w:val="en-AU"/>
    </w:rPr>
  </w:style>
  <w:style w:type="character" w:customStyle="1" w:styleId="FooterChar">
    <w:name w:val="Footer Char"/>
    <w:basedOn w:val="DefaultParagraphFont"/>
    <w:link w:val="Footer"/>
    <w:uiPriority w:val="99"/>
    <w:rsid w:val="00544FDC"/>
    <w:rPr>
      <w:rFonts w:eastAsia="Times New Roman"/>
      <w:sz w:val="20"/>
      <w:szCs w:val="20"/>
      <w:lang w:val="en-AU"/>
    </w:rPr>
  </w:style>
  <w:style w:type="paragraph" w:styleId="Title">
    <w:name w:val="Title"/>
    <w:basedOn w:val="Normal"/>
    <w:link w:val="TitleChar"/>
    <w:uiPriority w:val="99"/>
    <w:qFormat/>
    <w:rsid w:val="00544FDC"/>
    <w:pPr>
      <w:pBdr>
        <w:bottom w:val="single" w:sz="6" w:space="1" w:color="auto"/>
      </w:pBdr>
      <w:jc w:val="center"/>
    </w:pPr>
    <w:rPr>
      <w:b/>
      <w:bCs/>
      <w:smallCaps/>
      <w:shadow/>
      <w:sz w:val="36"/>
      <w:szCs w:val="36"/>
    </w:rPr>
  </w:style>
  <w:style w:type="character" w:customStyle="1" w:styleId="TitleChar">
    <w:name w:val="Title Char"/>
    <w:basedOn w:val="DefaultParagraphFont"/>
    <w:link w:val="Title"/>
    <w:uiPriority w:val="99"/>
    <w:rsid w:val="00544FDC"/>
    <w:rPr>
      <w:rFonts w:eastAsia="Times New Roman"/>
      <w:b/>
      <w:bCs/>
      <w:smallCaps/>
      <w:shadow/>
      <w:sz w:val="36"/>
      <w:szCs w:val="36"/>
    </w:rPr>
  </w:style>
  <w:style w:type="paragraph" w:styleId="ListParagraph">
    <w:name w:val="List Paragraph"/>
    <w:basedOn w:val="Normal"/>
    <w:uiPriority w:val="34"/>
    <w:qFormat/>
    <w:rsid w:val="00E71238"/>
    <w:pPr>
      <w:ind w:left="720"/>
      <w:contextualSpacing/>
    </w:pPr>
  </w:style>
  <w:style w:type="paragraph" w:styleId="BalloonText">
    <w:name w:val="Balloon Text"/>
    <w:basedOn w:val="Normal"/>
    <w:link w:val="BalloonTextChar"/>
    <w:uiPriority w:val="99"/>
    <w:semiHidden/>
    <w:unhideWhenUsed/>
    <w:rsid w:val="006B7156"/>
    <w:rPr>
      <w:rFonts w:ascii="Tahoma" w:hAnsi="Tahoma" w:cs="Tahoma"/>
      <w:sz w:val="16"/>
      <w:szCs w:val="16"/>
    </w:rPr>
  </w:style>
  <w:style w:type="character" w:customStyle="1" w:styleId="BalloonTextChar">
    <w:name w:val="Balloon Text Char"/>
    <w:basedOn w:val="DefaultParagraphFont"/>
    <w:link w:val="BalloonText"/>
    <w:uiPriority w:val="99"/>
    <w:semiHidden/>
    <w:rsid w:val="006B71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2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11</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agospodinov</dc:creator>
  <cp:keywords/>
  <dc:description/>
  <cp:lastModifiedBy>aivanova</cp:lastModifiedBy>
  <cp:revision>24</cp:revision>
  <cp:lastPrinted>2011-02-11T07:26:00Z</cp:lastPrinted>
  <dcterms:created xsi:type="dcterms:W3CDTF">2010-12-23T08:52:00Z</dcterms:created>
  <dcterms:modified xsi:type="dcterms:W3CDTF">2011-02-11T09:53:00Z</dcterms:modified>
</cp:coreProperties>
</file>