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>управител, заместник и наето лице в дружеството</w:t>
      </w:r>
      <w:r w:rsidR="00AD1008">
        <w:t xml:space="preserve"> </w:t>
      </w:r>
      <w:r w:rsidR="00AD1008" w:rsidRPr="00AD1008">
        <w:t>“Специализирана болница за активно лечение на белодробни болести - Троян” ЕООД, гр.Троян</w:t>
      </w:r>
      <w:r w:rsidR="00AD1008">
        <w:t>;</w:t>
      </w:r>
      <w:bookmarkStart w:id="1" w:name="_GoBack"/>
      <w:bookmarkEnd w:id="1"/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68B3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antonarnaudov@abv.bg</cp:lastModifiedBy>
  <cp:revision>7</cp:revision>
  <cp:lastPrinted>2021-01-22T09:59:00Z</cp:lastPrinted>
  <dcterms:created xsi:type="dcterms:W3CDTF">2019-05-16T10:33:00Z</dcterms:created>
  <dcterms:modified xsi:type="dcterms:W3CDTF">2021-04-14T11:06:00Z</dcterms:modified>
</cp:coreProperties>
</file>