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18" w:rsidRPr="009B4A24" w:rsidRDefault="00500218" w:rsidP="00500218">
      <w:pPr>
        <w:keepNext/>
        <w:spacing w:before="60"/>
        <w:ind w:left="6381" w:firstLine="709"/>
        <w:jc w:val="center"/>
        <w:outlineLvl w:val="2"/>
        <w:rPr>
          <w:b/>
          <w:bCs/>
          <w:i/>
          <w:spacing w:val="20"/>
          <w:u w:val="single"/>
          <w:lang w:val="en-US"/>
        </w:rPr>
      </w:pPr>
      <w:r w:rsidRPr="009B4A24">
        <w:rPr>
          <w:b/>
          <w:bCs/>
          <w:i/>
          <w:spacing w:val="20"/>
          <w:u w:val="single"/>
        </w:rPr>
        <w:t xml:space="preserve">Приложение № </w:t>
      </w:r>
      <w:r w:rsidR="007D3EB3" w:rsidRPr="009B4A24">
        <w:rPr>
          <w:b/>
          <w:bCs/>
          <w:i/>
          <w:spacing w:val="20"/>
          <w:u w:val="single"/>
          <w:lang w:val="en-US"/>
        </w:rPr>
        <w:t>2</w:t>
      </w:r>
    </w:p>
    <w:p w:rsidR="00500218" w:rsidRDefault="00500218" w:rsidP="0091092F">
      <w:pPr>
        <w:keepNext/>
        <w:spacing w:before="60"/>
        <w:jc w:val="center"/>
        <w:outlineLvl w:val="2"/>
        <w:rPr>
          <w:b/>
          <w:bCs/>
          <w:i/>
          <w:spacing w:val="20"/>
          <w:u w:val="single"/>
        </w:rPr>
      </w:pPr>
    </w:p>
    <w:p w:rsidR="0091092F" w:rsidRPr="00265CC0" w:rsidRDefault="0091092F" w:rsidP="0091092F">
      <w:pPr>
        <w:keepNext/>
        <w:spacing w:before="60"/>
        <w:jc w:val="center"/>
        <w:outlineLvl w:val="2"/>
        <w:rPr>
          <w:b/>
          <w:bCs/>
          <w:i/>
          <w:spacing w:val="20"/>
          <w:u w:val="single"/>
        </w:rPr>
      </w:pPr>
      <w:r w:rsidRPr="00265CC0">
        <w:rPr>
          <w:b/>
          <w:bCs/>
          <w:i/>
          <w:spacing w:val="20"/>
          <w:u w:val="single"/>
        </w:rPr>
        <w:t xml:space="preserve">ТЕХНИЧЕСКА СПЕЦИФИКАЦИЯ </w:t>
      </w:r>
    </w:p>
    <w:p w:rsidR="0091092F" w:rsidRPr="00265CC0"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55376D">
        <w:tc>
          <w:tcPr>
            <w:tcW w:w="10348" w:type="dxa"/>
          </w:tcPr>
          <w:p w:rsidR="0091092F" w:rsidRPr="00265CC0" w:rsidRDefault="0091092F" w:rsidP="003F332B">
            <w:pPr>
              <w:spacing w:before="0" w:line="20" w:lineRule="atLeast"/>
              <w:jc w:val="center"/>
              <w:rPr>
                <w:rFonts w:ascii="Times New Roman" w:eastAsia="Calibri" w:hAnsi="Times New Roman" w:cs="Times New Roman"/>
                <w:b/>
                <w:sz w:val="24"/>
                <w:szCs w:val="24"/>
              </w:rPr>
            </w:pPr>
            <w:r w:rsidRPr="00265CC0">
              <w:rPr>
                <w:rFonts w:ascii="Times New Roman" w:eastAsia="Calibri" w:hAnsi="Times New Roman" w:cs="Times New Roman"/>
                <w:b/>
                <w:sz w:val="24"/>
                <w:szCs w:val="24"/>
              </w:rPr>
              <w:t>Технически спецификации / Изисквания</w:t>
            </w:r>
          </w:p>
        </w:tc>
      </w:tr>
      <w:tr w:rsidR="00265CC0" w:rsidRPr="00265CC0" w:rsidTr="0055376D">
        <w:tc>
          <w:tcPr>
            <w:tcW w:w="10348" w:type="dxa"/>
          </w:tcPr>
          <w:p w:rsidR="00AC26E1" w:rsidRPr="00265CC0" w:rsidRDefault="009D6577" w:rsidP="00AC26E1">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265CC0">
              <w:rPr>
                <w:rFonts w:ascii="Times New Roman" w:hAnsi="Times New Roman"/>
                <w:b/>
                <w:bCs/>
                <w:szCs w:val="24"/>
              </w:rPr>
              <w:t>Линейка за спешна медицинска помощ (тип В)</w:t>
            </w:r>
            <w:r w:rsidR="009C1755" w:rsidRPr="00265CC0">
              <w:rPr>
                <w:rFonts w:ascii="Times New Roman" w:hAnsi="Times New Roman"/>
                <w:b/>
                <w:bCs/>
                <w:szCs w:val="24"/>
              </w:rPr>
              <w:t>- 4х4</w:t>
            </w:r>
            <w:r w:rsidR="00065D1D" w:rsidRPr="00265CC0">
              <w:rPr>
                <w:rFonts w:ascii="Times New Roman" w:hAnsi="Times New Roman"/>
                <w:b/>
                <w:bCs/>
                <w:szCs w:val="24"/>
              </w:rPr>
              <w:t xml:space="preserve"> – 78 броя</w:t>
            </w:r>
            <w:r w:rsidR="0068136F" w:rsidRPr="00265CC0">
              <w:rPr>
                <w:rFonts w:ascii="Times New Roman" w:eastAsia="Calibri" w:hAnsi="Times New Roman" w:cs="Times New Roman"/>
                <w:b/>
                <w:sz w:val="24"/>
                <w:szCs w:val="24"/>
              </w:rPr>
              <w:t>.</w:t>
            </w:r>
          </w:p>
        </w:tc>
      </w:tr>
      <w:tr w:rsidR="00265CC0" w:rsidRPr="00265CC0" w:rsidTr="0055376D">
        <w:tc>
          <w:tcPr>
            <w:tcW w:w="10348" w:type="dxa"/>
          </w:tcPr>
          <w:p w:rsidR="0091092F" w:rsidRPr="00265CC0" w:rsidRDefault="0091092F" w:rsidP="00F83157">
            <w:pPr>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b/>
                <w:sz w:val="24"/>
                <w:szCs w:val="24"/>
              </w:rPr>
              <w:t>1. Шаси:</w:t>
            </w:r>
            <w:r w:rsidRPr="00265CC0">
              <w:rPr>
                <w:rFonts w:ascii="Times New Roman" w:eastAsia="Calibri" w:hAnsi="Times New Roman" w:cs="Times New Roman"/>
                <w:sz w:val="24"/>
                <w:szCs w:val="24"/>
              </w:rPr>
              <w:t xml:space="preserve"> </w:t>
            </w:r>
          </w:p>
        </w:tc>
      </w:tr>
      <w:tr w:rsidR="00265CC0" w:rsidRPr="00265CC0" w:rsidTr="0055376D">
        <w:tc>
          <w:tcPr>
            <w:tcW w:w="10348" w:type="dxa"/>
          </w:tcPr>
          <w:p w:rsidR="0091092F" w:rsidRPr="00265CC0" w:rsidRDefault="0091092F" w:rsidP="00F83157">
            <w:pPr>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 Самоносеща метална конструкция</w:t>
            </w:r>
          </w:p>
        </w:tc>
      </w:tr>
      <w:tr w:rsidR="00265CC0" w:rsidRPr="00265CC0" w:rsidTr="0055376D">
        <w:tc>
          <w:tcPr>
            <w:tcW w:w="10348" w:type="dxa"/>
          </w:tcPr>
          <w:p w:rsidR="008A43BB" w:rsidRPr="00265CC0" w:rsidRDefault="005608B2" w:rsidP="005608B2">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w:t>
            </w:r>
            <w:r w:rsidR="008A43BB" w:rsidRPr="00265CC0">
              <w:rPr>
                <w:rFonts w:ascii="Times New Roman" w:eastAsia="Calibri" w:hAnsi="Times New Roman" w:cs="Times New Roman"/>
                <w:sz w:val="24"/>
                <w:szCs w:val="24"/>
              </w:rPr>
              <w:t>Задвижване</w:t>
            </w:r>
            <w:r w:rsidRPr="00265CC0">
              <w:rPr>
                <w:rFonts w:ascii="Times New Roman" w:eastAsia="Calibri" w:hAnsi="Times New Roman" w:cs="Times New Roman"/>
                <w:sz w:val="24"/>
                <w:szCs w:val="24"/>
              </w:rPr>
              <w:t>то да е фабрично изпълнено</w:t>
            </w:r>
            <w:r w:rsidR="00065EA6" w:rsidRPr="00265CC0">
              <w:rPr>
                <w:rFonts w:ascii="Times New Roman" w:eastAsia="Calibri" w:hAnsi="Times New Roman" w:cs="Times New Roman"/>
                <w:sz w:val="24"/>
                <w:szCs w:val="24"/>
              </w:rPr>
              <w:t xml:space="preserve"> от производи</w:t>
            </w:r>
            <w:bookmarkStart w:id="0" w:name="_GoBack"/>
            <w:bookmarkEnd w:id="0"/>
            <w:r w:rsidR="00065EA6" w:rsidRPr="00265CC0">
              <w:rPr>
                <w:rFonts w:ascii="Times New Roman" w:eastAsia="Calibri" w:hAnsi="Times New Roman" w:cs="Times New Roman"/>
                <w:sz w:val="24"/>
                <w:szCs w:val="24"/>
              </w:rPr>
              <w:t xml:space="preserve">теля на </w:t>
            </w:r>
            <w:r w:rsidRPr="00265CC0">
              <w:rPr>
                <w:rFonts w:ascii="Times New Roman" w:eastAsia="Calibri" w:hAnsi="Times New Roman" w:cs="Times New Roman"/>
                <w:sz w:val="24"/>
                <w:szCs w:val="24"/>
              </w:rPr>
              <w:t xml:space="preserve">базовото шаси </w:t>
            </w:r>
            <w:r w:rsidR="00065EA6" w:rsidRPr="00265CC0">
              <w:rPr>
                <w:rFonts w:ascii="Times New Roman" w:eastAsia="Calibri" w:hAnsi="Times New Roman" w:cs="Times New Roman"/>
                <w:sz w:val="24"/>
                <w:szCs w:val="24"/>
              </w:rPr>
              <w:t xml:space="preserve">и </w:t>
            </w:r>
            <w:r w:rsidRPr="00265CC0">
              <w:rPr>
                <w:rFonts w:ascii="Times New Roman" w:eastAsia="Calibri" w:hAnsi="Times New Roman" w:cs="Times New Roman"/>
                <w:sz w:val="24"/>
                <w:szCs w:val="24"/>
              </w:rPr>
              <w:t xml:space="preserve">да е </w:t>
            </w:r>
            <w:r w:rsidR="00065EA6" w:rsidRPr="00265CC0">
              <w:rPr>
                <w:rFonts w:ascii="Times New Roman" w:eastAsia="Calibri" w:hAnsi="Times New Roman" w:cs="Times New Roman"/>
                <w:sz w:val="24"/>
                <w:szCs w:val="24"/>
              </w:rPr>
              <w:t>със същия гаранционен срок като на линейката.</w:t>
            </w:r>
          </w:p>
        </w:tc>
      </w:tr>
      <w:tr w:rsidR="00265CC0" w:rsidRPr="00265CC0" w:rsidTr="0055376D">
        <w:tc>
          <w:tcPr>
            <w:tcW w:w="10348" w:type="dxa"/>
          </w:tcPr>
          <w:p w:rsidR="0091092F" w:rsidRPr="00265CC0" w:rsidRDefault="0091092F" w:rsidP="00B813ED">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Минимум 4+1 места</w:t>
            </w:r>
            <w:r w:rsidR="00AA1959" w:rsidRPr="00265CC0">
              <w:rPr>
                <w:rFonts w:ascii="Times New Roman" w:eastAsia="Calibri" w:hAnsi="Times New Roman" w:cs="Times New Roman"/>
                <w:sz w:val="24"/>
                <w:szCs w:val="24"/>
              </w:rPr>
              <w:t>.</w:t>
            </w:r>
          </w:p>
        </w:tc>
      </w:tr>
      <w:tr w:rsidR="00265CC0" w:rsidRPr="00265CC0" w:rsidTr="0055376D">
        <w:tc>
          <w:tcPr>
            <w:tcW w:w="10348" w:type="dxa"/>
          </w:tcPr>
          <w:p w:rsidR="0091092F" w:rsidRPr="00265CC0" w:rsidRDefault="00F10287"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 височина на окомплектованата линейка - до 3000 mm, измерена на ненатоварен автомобил (без водач, персонал, пациент, съпровождащи лица, антени).</w:t>
            </w:r>
          </w:p>
        </w:tc>
      </w:tr>
      <w:tr w:rsidR="00265CC0" w:rsidRPr="00265CC0" w:rsidTr="0055376D">
        <w:tc>
          <w:tcPr>
            <w:tcW w:w="10348" w:type="dxa"/>
          </w:tcPr>
          <w:p w:rsidR="0091092F" w:rsidRPr="00265CC0" w:rsidRDefault="0091092F" w:rsidP="00992F0B">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 дължина до</w:t>
            </w:r>
            <w:r w:rsidR="00F83157" w:rsidRPr="00265CC0">
              <w:rPr>
                <w:rFonts w:ascii="Times New Roman" w:eastAsia="Calibri" w:hAnsi="Times New Roman" w:cs="Times New Roman"/>
                <w:sz w:val="24"/>
                <w:szCs w:val="24"/>
              </w:rPr>
              <w:t xml:space="preserve"> </w:t>
            </w:r>
            <w:r w:rsidR="00992F0B" w:rsidRPr="00265CC0">
              <w:rPr>
                <w:rFonts w:ascii="Times New Roman" w:eastAsia="Calibri" w:hAnsi="Times New Roman" w:cs="Times New Roman"/>
                <w:sz w:val="24"/>
                <w:szCs w:val="24"/>
              </w:rPr>
              <w:t>7</w:t>
            </w:r>
            <w:r w:rsidR="00F83157" w:rsidRPr="00265CC0">
              <w:rPr>
                <w:rFonts w:ascii="Times New Roman" w:eastAsia="Calibri" w:hAnsi="Times New Roman" w:cs="Times New Roman"/>
                <w:sz w:val="24"/>
                <w:szCs w:val="24"/>
              </w:rPr>
              <w:t>00</w:t>
            </w:r>
            <w:r w:rsidRPr="00265CC0">
              <w:rPr>
                <w:rFonts w:ascii="Times New Roman" w:eastAsia="Calibri" w:hAnsi="Times New Roman" w:cs="Times New Roman"/>
                <w:sz w:val="24"/>
                <w:szCs w:val="24"/>
              </w:rPr>
              <w:t xml:space="preserve">0 </w:t>
            </w:r>
            <w:r w:rsidR="00F83157" w:rsidRPr="00265CC0">
              <w:rPr>
                <w:rFonts w:ascii="Times New Roman" w:eastAsia="Calibri" w:hAnsi="Times New Roman" w:cs="Times New Roman"/>
                <w:sz w:val="24"/>
                <w:szCs w:val="24"/>
              </w:rPr>
              <w:t>mm</w:t>
            </w:r>
            <w:r w:rsidR="00AA1959" w:rsidRPr="00265CC0">
              <w:rPr>
                <w:rFonts w:ascii="Times New Roman" w:eastAsia="Calibri" w:hAnsi="Times New Roman" w:cs="Times New Roman"/>
                <w:sz w:val="24"/>
                <w:szCs w:val="24"/>
              </w:rPr>
              <w:t>.</w:t>
            </w:r>
          </w:p>
        </w:tc>
      </w:tr>
      <w:tr w:rsidR="00265CC0" w:rsidRPr="00265CC0" w:rsidTr="0055376D">
        <w:tc>
          <w:tcPr>
            <w:tcW w:w="10348" w:type="dxa"/>
          </w:tcPr>
          <w:p w:rsidR="0091092F" w:rsidRPr="00265CC0" w:rsidRDefault="00AA1959" w:rsidP="00F10287">
            <w:pPr>
              <w:pStyle w:val="ListParagraph"/>
              <w:numPr>
                <w:ilvl w:val="2"/>
                <w:numId w:val="46"/>
              </w:numPr>
              <w:tabs>
                <w:tab w:val="left" w:pos="603"/>
              </w:tabs>
              <w:spacing w:before="0" w:line="20" w:lineRule="atLeast"/>
              <w:ind w:left="0" w:firstLine="0"/>
              <w:rPr>
                <w:rFonts w:ascii="Times New Roman" w:eastAsia="Calibri" w:hAnsi="Times New Roman" w:cs="Times New Roman"/>
                <w:sz w:val="24"/>
                <w:szCs w:val="24"/>
              </w:rPr>
            </w:pPr>
            <w:r w:rsidRPr="00265CC0">
              <w:rPr>
                <w:rFonts w:ascii="Times New Roman" w:eastAsia="Calibri" w:hAnsi="Times New Roman" w:cs="Times New Roman"/>
                <w:sz w:val="24"/>
                <w:szCs w:val="24"/>
              </w:rPr>
              <w:t>Максимална</w:t>
            </w:r>
            <w:r w:rsidR="0091092F" w:rsidRPr="00265CC0">
              <w:rPr>
                <w:rFonts w:ascii="Times New Roman" w:eastAsia="Calibri" w:hAnsi="Times New Roman" w:cs="Times New Roman"/>
                <w:sz w:val="24"/>
                <w:szCs w:val="24"/>
              </w:rPr>
              <w:t xml:space="preserve"> ширина </w:t>
            </w:r>
            <w:r w:rsidR="00F10287" w:rsidRPr="00265CC0">
              <w:rPr>
                <w:rFonts w:ascii="Times New Roman" w:eastAsia="Calibri" w:hAnsi="Times New Roman" w:cs="Times New Roman"/>
                <w:sz w:val="24"/>
                <w:szCs w:val="24"/>
              </w:rPr>
              <w:t>(</w:t>
            </w:r>
            <w:r w:rsidR="0091092F" w:rsidRPr="00265CC0">
              <w:rPr>
                <w:rFonts w:ascii="Times New Roman" w:eastAsia="Calibri" w:hAnsi="Times New Roman" w:cs="Times New Roman"/>
                <w:sz w:val="24"/>
                <w:szCs w:val="24"/>
              </w:rPr>
              <w:t>без. страничните огледала</w:t>
            </w:r>
            <w:r w:rsidR="00F10287" w:rsidRPr="00265CC0">
              <w:rPr>
                <w:rFonts w:ascii="Times New Roman" w:eastAsia="Calibri" w:hAnsi="Times New Roman" w:cs="Times New Roman"/>
                <w:sz w:val="24"/>
                <w:szCs w:val="24"/>
              </w:rPr>
              <w:t>)</w:t>
            </w:r>
            <w:r w:rsidR="0091092F" w:rsidRPr="00265CC0">
              <w:rPr>
                <w:rFonts w:ascii="Times New Roman" w:eastAsia="Calibri" w:hAnsi="Times New Roman" w:cs="Times New Roman"/>
                <w:sz w:val="24"/>
                <w:szCs w:val="24"/>
              </w:rPr>
              <w:t xml:space="preserve"> </w:t>
            </w:r>
            <w:r w:rsidRPr="00265CC0">
              <w:rPr>
                <w:rFonts w:ascii="Times New Roman" w:eastAsia="Calibri" w:hAnsi="Times New Roman" w:cs="Times New Roman"/>
                <w:sz w:val="24"/>
                <w:szCs w:val="24"/>
              </w:rPr>
              <w:t xml:space="preserve">до </w:t>
            </w:r>
            <w:r w:rsidR="0091092F" w:rsidRPr="00265CC0">
              <w:rPr>
                <w:rFonts w:ascii="Times New Roman" w:eastAsia="Calibri" w:hAnsi="Times New Roman" w:cs="Times New Roman"/>
                <w:sz w:val="24"/>
                <w:szCs w:val="24"/>
              </w:rPr>
              <w:t>2</w:t>
            </w:r>
            <w:r w:rsidRPr="00265CC0">
              <w:rPr>
                <w:rFonts w:ascii="Times New Roman" w:eastAsia="Calibri" w:hAnsi="Times New Roman" w:cs="Times New Roman"/>
                <w:sz w:val="24"/>
                <w:szCs w:val="24"/>
              </w:rPr>
              <w:t>5</w:t>
            </w:r>
            <w:r w:rsidR="0091092F" w:rsidRPr="00265CC0">
              <w:rPr>
                <w:rFonts w:ascii="Times New Roman" w:eastAsia="Calibri" w:hAnsi="Times New Roman" w:cs="Times New Roman"/>
                <w:sz w:val="24"/>
                <w:szCs w:val="24"/>
              </w:rPr>
              <w:t xml:space="preserve">00 </w:t>
            </w:r>
            <w:r w:rsidRPr="00265CC0">
              <w:rPr>
                <w:rFonts w:ascii="Times New Roman" w:eastAsia="Calibri" w:hAnsi="Times New Roman" w:cs="Times New Roman"/>
                <w:sz w:val="24"/>
                <w:szCs w:val="24"/>
              </w:rPr>
              <w:t>mm.</w:t>
            </w:r>
          </w:p>
        </w:tc>
      </w:tr>
      <w:tr w:rsidR="00265CC0" w:rsidRPr="00265CC0" w:rsidTr="0055376D">
        <w:tc>
          <w:tcPr>
            <w:tcW w:w="10348" w:type="dxa"/>
          </w:tcPr>
          <w:p w:rsidR="00F10287" w:rsidRPr="00265CC0" w:rsidRDefault="00F10287" w:rsidP="00276457">
            <w:pPr>
              <w:tabs>
                <w:tab w:val="left" w:pos="603"/>
              </w:tabs>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1.1.6. Просветът под предната ос да е най-малко 1</w:t>
            </w:r>
            <w:r w:rsidR="00276457">
              <w:rPr>
                <w:rFonts w:ascii="Times New Roman" w:eastAsia="Calibri" w:hAnsi="Times New Roman" w:cs="Times New Roman"/>
                <w:sz w:val="24"/>
                <w:szCs w:val="24"/>
              </w:rPr>
              <w:t>7</w:t>
            </w:r>
            <w:r w:rsidRPr="00265CC0">
              <w:rPr>
                <w:rFonts w:ascii="Times New Roman" w:eastAsia="Calibri" w:hAnsi="Times New Roman" w:cs="Times New Roman"/>
                <w:sz w:val="24"/>
                <w:szCs w:val="24"/>
              </w:rPr>
              <w:t xml:space="preserve">0 </w:t>
            </w:r>
            <w:r w:rsidRPr="00265CC0">
              <w:rPr>
                <w:rFonts w:ascii="Times New Roman" w:eastAsia="Calibri" w:hAnsi="Times New Roman" w:cs="Times New Roman"/>
                <w:sz w:val="24"/>
                <w:szCs w:val="24"/>
                <w:lang w:val="en-US"/>
              </w:rPr>
              <w:t>mm</w:t>
            </w:r>
            <w:r w:rsidRPr="00265CC0">
              <w:rPr>
                <w:rFonts w:ascii="Times New Roman" w:eastAsia="Calibri" w:hAnsi="Times New Roman" w:cs="Times New Roman"/>
                <w:sz w:val="24"/>
                <w:szCs w:val="24"/>
              </w:rPr>
              <w:t>.</w:t>
            </w:r>
          </w:p>
        </w:tc>
      </w:tr>
      <w:tr w:rsidR="00265CC0" w:rsidRPr="00265CC0" w:rsidTr="0055376D">
        <w:tc>
          <w:tcPr>
            <w:tcW w:w="10348" w:type="dxa"/>
          </w:tcPr>
          <w:p w:rsidR="00F10287" w:rsidRPr="00265CC0" w:rsidRDefault="00F10287" w:rsidP="00276457">
            <w:pPr>
              <w:tabs>
                <w:tab w:val="left" w:pos="603"/>
              </w:tabs>
              <w:spacing w:before="0" w:line="20" w:lineRule="atLeast"/>
              <w:rPr>
                <w:rFonts w:ascii="Times New Roman" w:eastAsia="Calibri" w:hAnsi="Times New Roman" w:cs="Times New Roman"/>
                <w:sz w:val="24"/>
                <w:szCs w:val="24"/>
              </w:rPr>
            </w:pPr>
            <w:r w:rsidRPr="00265CC0">
              <w:rPr>
                <w:rFonts w:ascii="Times New Roman" w:eastAsia="Calibri" w:hAnsi="Times New Roman" w:cs="Times New Roman"/>
                <w:sz w:val="24"/>
                <w:szCs w:val="24"/>
              </w:rPr>
              <w:t>1.1.7. Просветът под задната ос да е най-малко 1</w:t>
            </w:r>
            <w:r w:rsidR="00276457">
              <w:rPr>
                <w:rFonts w:ascii="Times New Roman" w:eastAsia="Calibri" w:hAnsi="Times New Roman" w:cs="Times New Roman"/>
                <w:sz w:val="24"/>
                <w:szCs w:val="24"/>
              </w:rPr>
              <w:t>7</w:t>
            </w:r>
            <w:r w:rsidRPr="00265CC0">
              <w:rPr>
                <w:rFonts w:ascii="Times New Roman" w:eastAsia="Calibri" w:hAnsi="Times New Roman" w:cs="Times New Roman"/>
                <w:sz w:val="24"/>
                <w:szCs w:val="24"/>
              </w:rPr>
              <w:t xml:space="preserve">0 </w:t>
            </w:r>
            <w:r w:rsidRPr="00265CC0">
              <w:rPr>
                <w:rFonts w:ascii="Times New Roman" w:eastAsia="Calibri" w:hAnsi="Times New Roman" w:cs="Times New Roman"/>
                <w:sz w:val="24"/>
                <w:szCs w:val="24"/>
                <w:lang w:val="en-US"/>
              </w:rPr>
              <w:t>mm.</w:t>
            </w:r>
          </w:p>
        </w:tc>
      </w:tr>
      <w:tr w:rsidR="00265CC0" w:rsidRPr="00265CC0" w:rsidTr="0055376D">
        <w:tc>
          <w:tcPr>
            <w:tcW w:w="10348" w:type="dxa"/>
          </w:tcPr>
          <w:p w:rsidR="0091092F" w:rsidRPr="00265CC0" w:rsidRDefault="0091092F" w:rsidP="00AA1959">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1.2. Задната част на купето да е оформена като санитарн</w:t>
            </w:r>
            <w:r w:rsidR="00237F6D" w:rsidRPr="00265CC0">
              <w:rPr>
                <w:rFonts w:ascii="Times New Roman" w:hAnsi="Times New Roman" w:cs="Times New Roman"/>
                <w:sz w:val="24"/>
                <w:szCs w:val="24"/>
              </w:rPr>
              <w:t>о</w:t>
            </w:r>
            <w:r w:rsidRPr="00265CC0">
              <w:rPr>
                <w:rFonts w:ascii="Times New Roman" w:hAnsi="Times New Roman" w:cs="Times New Roman"/>
                <w:sz w:val="24"/>
                <w:szCs w:val="24"/>
              </w:rPr>
              <w:t xml:space="preserve"> </w:t>
            </w:r>
            <w:r w:rsidR="00237F6D" w:rsidRPr="00265CC0">
              <w:rPr>
                <w:rFonts w:ascii="Times New Roman" w:hAnsi="Times New Roman" w:cs="Times New Roman"/>
                <w:sz w:val="24"/>
                <w:szCs w:val="24"/>
              </w:rPr>
              <w:t>отделение</w:t>
            </w:r>
            <w:r w:rsidRPr="00265CC0">
              <w:rPr>
                <w:rFonts w:ascii="Times New Roman" w:hAnsi="Times New Roman" w:cs="Times New Roman"/>
                <w:sz w:val="24"/>
                <w:szCs w:val="24"/>
              </w:rPr>
              <w:t>, в ко</w:t>
            </w:r>
            <w:r w:rsidR="00AA1959" w:rsidRPr="00265CC0">
              <w:rPr>
                <w:rFonts w:ascii="Times New Roman" w:hAnsi="Times New Roman" w:cs="Times New Roman"/>
                <w:sz w:val="24"/>
                <w:szCs w:val="24"/>
              </w:rPr>
              <w:t>е</w:t>
            </w:r>
            <w:r w:rsidRPr="00265CC0">
              <w:rPr>
                <w:rFonts w:ascii="Times New Roman" w:hAnsi="Times New Roman" w:cs="Times New Roman"/>
                <w:sz w:val="24"/>
                <w:szCs w:val="24"/>
              </w:rPr>
              <w:t>то да могат да се извършват основни медицински дейности</w:t>
            </w:r>
            <w:r w:rsidR="00AA1959" w:rsidRPr="00265CC0">
              <w:rPr>
                <w:rFonts w:ascii="Times New Roman" w:hAnsi="Times New Roman" w:cs="Times New Roman"/>
                <w:sz w:val="24"/>
                <w:szCs w:val="24"/>
              </w:rPr>
              <w:t>.</w:t>
            </w:r>
            <w:r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91092F" w:rsidP="00C754D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1.3. Пълен достъп до </w:t>
            </w:r>
            <w:r w:rsidR="00C754DD" w:rsidRPr="00265CC0">
              <w:rPr>
                <w:rFonts w:ascii="Times New Roman" w:hAnsi="Times New Roman" w:cs="Times New Roman"/>
                <w:sz w:val="24"/>
                <w:szCs w:val="24"/>
              </w:rPr>
              <w:t xml:space="preserve">санитарното отделение </w:t>
            </w:r>
            <w:r w:rsidRPr="00265CC0">
              <w:rPr>
                <w:rFonts w:ascii="Times New Roman" w:hAnsi="Times New Roman" w:cs="Times New Roman"/>
                <w:sz w:val="24"/>
                <w:szCs w:val="24"/>
              </w:rPr>
              <w:t>поне от две места:</w:t>
            </w:r>
          </w:p>
        </w:tc>
      </w:tr>
      <w:tr w:rsidR="00265CC0" w:rsidRPr="00265CC0" w:rsidTr="0055376D">
        <w:tc>
          <w:tcPr>
            <w:tcW w:w="10348" w:type="dxa"/>
          </w:tcPr>
          <w:p w:rsidR="0091092F" w:rsidRPr="00265CC0" w:rsidRDefault="0091092F" w:rsidP="003F1F3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1.3.1</w:t>
            </w:r>
            <w:r w:rsidR="00C754DD" w:rsidRPr="00265CC0">
              <w:rPr>
                <w:rFonts w:ascii="Times New Roman" w:hAnsi="Times New Roman" w:cs="Times New Roman"/>
                <w:sz w:val="24"/>
                <w:szCs w:val="24"/>
              </w:rPr>
              <w:t>.</w:t>
            </w:r>
            <w:r w:rsidRPr="00265CC0">
              <w:rPr>
                <w:rFonts w:ascii="Times New Roman" w:hAnsi="Times New Roman" w:cs="Times New Roman"/>
                <w:sz w:val="24"/>
                <w:szCs w:val="24"/>
              </w:rPr>
              <w:t xml:space="preserve"> От дясната страна на </w:t>
            </w:r>
            <w:r w:rsidR="00C754DD" w:rsidRPr="00265CC0">
              <w:rPr>
                <w:rFonts w:ascii="Times New Roman" w:hAnsi="Times New Roman" w:cs="Times New Roman"/>
                <w:sz w:val="24"/>
                <w:szCs w:val="24"/>
              </w:rPr>
              <w:t>линейката</w:t>
            </w:r>
            <w:r w:rsidRPr="00265CC0">
              <w:rPr>
                <w:rFonts w:ascii="Times New Roman" w:hAnsi="Times New Roman" w:cs="Times New Roman"/>
                <w:sz w:val="24"/>
                <w:szCs w:val="24"/>
              </w:rPr>
              <w:t xml:space="preserve"> през плъзгаща се врата</w:t>
            </w:r>
            <w:r w:rsidR="003F1F3B"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91092F" w:rsidP="00C754D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1.3.</w:t>
            </w:r>
            <w:r w:rsidR="00C754DD" w:rsidRPr="00265CC0">
              <w:rPr>
                <w:rFonts w:ascii="Times New Roman" w:hAnsi="Times New Roman" w:cs="Times New Roman"/>
                <w:sz w:val="24"/>
                <w:szCs w:val="24"/>
              </w:rPr>
              <w:t>2.</w:t>
            </w:r>
            <w:r w:rsidRPr="00265CC0">
              <w:rPr>
                <w:rFonts w:ascii="Times New Roman" w:hAnsi="Times New Roman" w:cs="Times New Roman"/>
                <w:sz w:val="24"/>
                <w:szCs w:val="24"/>
              </w:rPr>
              <w:t xml:space="preserve"> </w:t>
            </w:r>
            <w:r w:rsidR="00806A14" w:rsidRPr="00265CC0">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806A14" w:rsidRPr="00265CC0">
              <w:rPr>
                <w:rFonts w:ascii="Times New Roman" w:hAnsi="Times New Roman" w:cs="Times New Roman"/>
                <w:bCs/>
                <w:sz w:val="24"/>
                <w:szCs w:val="24"/>
              </w:rPr>
              <w:t>БДС EN</w:t>
            </w:r>
            <w:r w:rsidR="00806A14" w:rsidRPr="00265CC0">
              <w:rPr>
                <w:rFonts w:ascii="Times New Roman" w:hAnsi="Times New Roman" w:cs="Times New Roman"/>
                <w:sz w:val="24"/>
                <w:szCs w:val="24"/>
              </w:rPr>
              <w:t xml:space="preserve"> 1789:2007+A2:2014 (или еквивалент). При наличие на две врати същите следва да се отварят минимум на 180 градуса.</w:t>
            </w:r>
          </w:p>
        </w:tc>
      </w:tr>
      <w:tr w:rsidR="00265CC0" w:rsidRPr="00265CC0" w:rsidTr="0055376D">
        <w:trPr>
          <w:trHeight w:val="271"/>
        </w:trPr>
        <w:tc>
          <w:tcPr>
            <w:tcW w:w="10348" w:type="dxa"/>
          </w:tcPr>
          <w:p w:rsidR="0091092F" w:rsidRPr="00265CC0" w:rsidRDefault="00C754DD" w:rsidP="003F332B">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bCs/>
                <w:sz w:val="24"/>
                <w:szCs w:val="24"/>
              </w:rPr>
              <w:t xml:space="preserve">1.4. </w:t>
            </w:r>
            <w:r w:rsidR="0091092F" w:rsidRPr="00265CC0">
              <w:rPr>
                <w:rFonts w:ascii="Times New Roman" w:hAnsi="Times New Roman" w:cs="Times New Roman"/>
                <w:bCs/>
                <w:sz w:val="24"/>
                <w:szCs w:val="24"/>
              </w:rPr>
              <w:t>Основен цвят: бял.</w:t>
            </w:r>
          </w:p>
        </w:tc>
      </w:tr>
      <w:tr w:rsidR="00265CC0" w:rsidRPr="00265CC0" w:rsidTr="0055376D">
        <w:trPr>
          <w:trHeight w:val="276"/>
        </w:trPr>
        <w:tc>
          <w:tcPr>
            <w:tcW w:w="10348" w:type="dxa"/>
          </w:tcPr>
          <w:p w:rsidR="0091092F" w:rsidRPr="00265CC0" w:rsidRDefault="005E431A" w:rsidP="006F2BDE">
            <w:pPr>
              <w:spacing w:before="0" w:line="20" w:lineRule="atLeast"/>
              <w:rPr>
                <w:rFonts w:ascii="Times New Roman" w:hAnsi="Times New Roman" w:cs="Times New Roman"/>
                <w:bCs/>
                <w:sz w:val="24"/>
                <w:szCs w:val="24"/>
              </w:rPr>
            </w:pPr>
            <w:r w:rsidRPr="00265CC0">
              <w:rPr>
                <w:rFonts w:ascii="Times New Roman" w:hAnsi="Times New Roman" w:cs="Times New Roman"/>
                <w:bCs/>
                <w:sz w:val="24"/>
                <w:szCs w:val="24"/>
              </w:rPr>
              <w:t xml:space="preserve">1.5. </w:t>
            </w:r>
            <w:r w:rsidR="0091092F" w:rsidRPr="00265CC0">
              <w:rPr>
                <w:rFonts w:ascii="Times New Roman" w:hAnsi="Times New Roman" w:cs="Times New Roman"/>
                <w:bCs/>
                <w:sz w:val="24"/>
                <w:szCs w:val="24"/>
              </w:rPr>
              <w:t xml:space="preserve">Допълнителен цвят: </w:t>
            </w:r>
            <w:r w:rsidR="006F2BDE" w:rsidRPr="00265CC0">
              <w:rPr>
                <w:rFonts w:ascii="Times New Roman" w:hAnsi="Times New Roman" w:cs="Times New Roman"/>
                <w:bCs/>
                <w:sz w:val="24"/>
                <w:szCs w:val="24"/>
              </w:rPr>
              <w:t>оранжев</w:t>
            </w:r>
            <w:r w:rsidR="0091092F" w:rsidRPr="00265CC0">
              <w:rPr>
                <w:rFonts w:ascii="Times New Roman" w:hAnsi="Times New Roman" w:cs="Times New Roman"/>
                <w:bCs/>
                <w:sz w:val="24"/>
                <w:szCs w:val="24"/>
              </w:rPr>
              <w:t>.</w:t>
            </w:r>
          </w:p>
        </w:tc>
      </w:tr>
      <w:tr w:rsidR="00265CC0" w:rsidRPr="00265CC0" w:rsidTr="0055376D">
        <w:tc>
          <w:tcPr>
            <w:tcW w:w="10348" w:type="dxa"/>
          </w:tcPr>
          <w:p w:rsidR="0091092F" w:rsidRPr="00265CC0" w:rsidRDefault="00AC26E1" w:rsidP="003F332B">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2. </w:t>
            </w:r>
            <w:r w:rsidR="0091092F" w:rsidRPr="00265CC0">
              <w:rPr>
                <w:rFonts w:ascii="Times New Roman" w:hAnsi="Times New Roman" w:cs="Times New Roman"/>
                <w:b/>
                <w:sz w:val="24"/>
                <w:szCs w:val="24"/>
              </w:rPr>
              <w:t>Специфични опознавателни знаци:</w:t>
            </w:r>
          </w:p>
        </w:tc>
      </w:tr>
      <w:tr w:rsidR="00265CC0" w:rsidRPr="00265CC0" w:rsidTr="0055376D">
        <w:trPr>
          <w:trHeight w:val="563"/>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bCs/>
                <w:sz w:val="24"/>
                <w:szCs w:val="24"/>
              </w:rPr>
              <w:t>2.1. Оранжева</w:t>
            </w:r>
            <w:r w:rsidRPr="00265CC0">
              <w:rPr>
                <w:rFonts w:ascii="Times New Roman" w:hAnsi="Times New Roman" w:cs="Times New Roman"/>
                <w:sz w:val="24"/>
                <w:szCs w:val="24"/>
              </w:rPr>
              <w:t xml:space="preserve">, светлоотразяваща лента с 30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265CC0" w:rsidRPr="00265CC0" w:rsidTr="0055376D">
        <w:trPr>
          <w:trHeight w:val="27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265CC0" w:rsidRPr="00265CC0" w:rsidTr="0055376D">
        <w:trPr>
          <w:trHeight w:val="55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xml:space="preserve"> и дебелина на линията 2 </w:t>
            </w:r>
            <w:r w:rsidRPr="00265CC0">
              <w:rPr>
                <w:rFonts w:ascii="Times New Roman" w:hAnsi="Times New Roman" w:cs="Times New Roman"/>
                <w:sz w:val="24"/>
                <w:szCs w:val="24"/>
                <w:lang w:val="en-US"/>
              </w:rPr>
              <w:t>cm</w:t>
            </w:r>
            <w:r w:rsidRPr="00265CC0">
              <w:rPr>
                <w:rFonts w:ascii="Times New Roman" w:hAnsi="Times New Roman" w:cs="Times New Roman"/>
                <w:sz w:val="24"/>
                <w:szCs w:val="24"/>
              </w:rPr>
              <w:t>) „СПЕШНА МЕДИЦИНСКА ПОМОЩ“.</w:t>
            </w:r>
          </w:p>
        </w:tc>
      </w:tr>
      <w:tr w:rsidR="00265CC0" w:rsidRPr="00265CC0" w:rsidTr="0055376D">
        <w:trPr>
          <w:trHeight w:val="266"/>
        </w:trPr>
        <w:tc>
          <w:tcPr>
            <w:tcW w:w="10348" w:type="dxa"/>
          </w:tcPr>
          <w:p w:rsidR="00F61BEF" w:rsidRPr="00265CC0" w:rsidRDefault="00F61BEF" w:rsidP="00F61BEF">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2.4. Огледално обърнат надпис в черен цвят „ЛИНЕЙКА“ върху предния капак.</w:t>
            </w:r>
          </w:p>
        </w:tc>
      </w:tr>
      <w:tr w:rsidR="00265CC0" w:rsidRPr="00265CC0" w:rsidTr="0055376D">
        <w:trPr>
          <w:trHeight w:val="294"/>
        </w:trPr>
        <w:tc>
          <w:tcPr>
            <w:tcW w:w="10348" w:type="dxa"/>
          </w:tcPr>
          <w:p w:rsidR="0091092F" w:rsidRPr="00265CC0" w:rsidRDefault="00281B79"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3. </w:t>
            </w:r>
            <w:r w:rsidR="0091092F" w:rsidRPr="00265CC0">
              <w:rPr>
                <w:rFonts w:ascii="Times New Roman" w:hAnsi="Times New Roman" w:cs="Times New Roman"/>
                <w:b/>
                <w:sz w:val="24"/>
                <w:szCs w:val="24"/>
              </w:rPr>
              <w:t>Двигател:</w:t>
            </w:r>
          </w:p>
        </w:tc>
      </w:tr>
      <w:tr w:rsidR="00265CC0" w:rsidRPr="00265CC0" w:rsidTr="0055376D">
        <w:trPr>
          <w:trHeight w:val="294"/>
        </w:trPr>
        <w:tc>
          <w:tcPr>
            <w:tcW w:w="10348" w:type="dxa"/>
          </w:tcPr>
          <w:p w:rsidR="0091092F" w:rsidRPr="00265CC0" w:rsidRDefault="00281B79" w:rsidP="003F1F3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3.1. </w:t>
            </w:r>
            <w:r w:rsidR="00EA5BDF" w:rsidRPr="00265CC0">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265CC0" w:rsidRPr="00265CC0" w:rsidTr="0055376D">
        <w:trPr>
          <w:trHeight w:val="294"/>
        </w:trPr>
        <w:tc>
          <w:tcPr>
            <w:tcW w:w="10348" w:type="dxa"/>
          </w:tcPr>
          <w:p w:rsidR="0091092F" w:rsidRPr="00265CC0" w:rsidRDefault="00493F12"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3.2. Мощност: </w:t>
            </w:r>
            <w:r w:rsidR="00E61813" w:rsidRPr="00265CC0">
              <w:rPr>
                <w:rFonts w:ascii="Times New Roman" w:hAnsi="Times New Roman" w:cs="Times New Roman"/>
                <w:sz w:val="24"/>
                <w:szCs w:val="24"/>
              </w:rPr>
              <w:t>осигуряваща ускорение на линейката</w:t>
            </w:r>
            <w:r w:rsidRPr="00265CC0">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 но не по-малка от 95 KW.</w:t>
            </w:r>
          </w:p>
        </w:tc>
      </w:tr>
      <w:tr w:rsidR="00265CC0" w:rsidRPr="00265CC0" w:rsidTr="0055376D">
        <w:trPr>
          <w:trHeight w:val="294"/>
        </w:trPr>
        <w:tc>
          <w:tcPr>
            <w:tcW w:w="10348" w:type="dxa"/>
          </w:tcPr>
          <w:p w:rsidR="0091092F" w:rsidRPr="00265CC0" w:rsidRDefault="004233EA" w:rsidP="004233EA">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3.3. </w:t>
            </w:r>
            <w:r w:rsidR="003F1F3B" w:rsidRPr="00265CC0">
              <w:rPr>
                <w:rFonts w:ascii="Times New Roman" w:hAnsi="Times New Roman" w:cs="Times New Roman"/>
                <w:sz w:val="24"/>
                <w:szCs w:val="24"/>
              </w:rPr>
              <w:t>Да отговаря на Регламент (ЕО) № 715/2007 на Европейския парламент и на Съвета за Евро 6.</w:t>
            </w:r>
          </w:p>
        </w:tc>
      </w:tr>
      <w:tr w:rsidR="00265CC0" w:rsidRPr="00265CC0" w:rsidTr="0055376D">
        <w:trPr>
          <w:trHeight w:val="294"/>
        </w:trPr>
        <w:tc>
          <w:tcPr>
            <w:tcW w:w="10348" w:type="dxa"/>
          </w:tcPr>
          <w:p w:rsidR="00493F12" w:rsidRPr="00265CC0" w:rsidRDefault="004233EA"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 xml:space="preserve">3.4. </w:t>
            </w:r>
            <w:r w:rsidR="00493F12" w:rsidRPr="00265CC0">
              <w:rPr>
                <w:rFonts w:ascii="Times New Roman" w:hAnsi="Times New Roman" w:cs="Times New Roman"/>
                <w:sz w:val="24"/>
                <w:szCs w:val="24"/>
              </w:rPr>
              <w:t xml:space="preserve">Разходът на гориво да бъде посочен в </w:t>
            </w:r>
            <w:r w:rsidR="00493F12" w:rsidRPr="00265CC0">
              <w:rPr>
                <w:rFonts w:ascii="Times New Roman" w:hAnsi="Times New Roman" w:cs="Times New Roman"/>
                <w:sz w:val="24"/>
                <w:szCs w:val="24"/>
                <w:lang w:val="en-US"/>
              </w:rPr>
              <w:t>l</w:t>
            </w:r>
            <w:r w:rsidR="00493F12" w:rsidRPr="00265CC0">
              <w:rPr>
                <w:rFonts w:ascii="Times New Roman" w:hAnsi="Times New Roman" w:cs="Times New Roman"/>
                <w:sz w:val="24"/>
                <w:szCs w:val="24"/>
              </w:rPr>
              <w:t xml:space="preserve">/100 </w:t>
            </w:r>
            <w:r w:rsidR="00493F12" w:rsidRPr="00265CC0">
              <w:rPr>
                <w:rFonts w:ascii="Times New Roman" w:hAnsi="Times New Roman" w:cs="Times New Roman"/>
                <w:lang w:val="en-US"/>
              </w:rPr>
              <w:t>km</w:t>
            </w:r>
            <w:r w:rsidR="00493F12" w:rsidRPr="00265CC0">
              <w:rPr>
                <w:rFonts w:ascii="Times New Roman" w:hAnsi="Times New Roman" w:cs="Times New Roman"/>
                <w:sz w:val="24"/>
                <w:szCs w:val="24"/>
              </w:rPr>
              <w:t xml:space="preserve"> за автомобил, като данните са съобразно данните за разход на гориво:</w:t>
            </w:r>
          </w:p>
          <w:p w:rsidR="00493F12" w:rsidRPr="00265CC0" w:rsidRDefault="00493F12"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посочени в сертификата за съответствие на базовия автомобил;</w:t>
            </w:r>
          </w:p>
          <w:p w:rsidR="0091092F" w:rsidRPr="00265CC0" w:rsidRDefault="00493F12" w:rsidP="00493F1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при максимално разрешена маса на линейката.</w:t>
            </w:r>
          </w:p>
        </w:tc>
      </w:tr>
      <w:tr w:rsidR="00265CC0" w:rsidRPr="00265CC0" w:rsidTr="0055376D">
        <w:trPr>
          <w:trHeight w:val="294"/>
        </w:trPr>
        <w:tc>
          <w:tcPr>
            <w:tcW w:w="10348" w:type="dxa"/>
          </w:tcPr>
          <w:p w:rsidR="0091092F" w:rsidRPr="00265CC0" w:rsidRDefault="004233EA" w:rsidP="003F332B">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4. </w:t>
            </w:r>
            <w:r w:rsidR="0091092F" w:rsidRPr="00265CC0">
              <w:rPr>
                <w:rFonts w:ascii="Times New Roman" w:hAnsi="Times New Roman" w:cs="Times New Roman"/>
                <w:b/>
                <w:sz w:val="24"/>
                <w:szCs w:val="24"/>
              </w:rPr>
              <w:t>Резервоар:</w:t>
            </w:r>
            <w:r w:rsidR="0091092F" w:rsidRPr="00265CC0">
              <w:rPr>
                <w:rFonts w:ascii="Times New Roman" w:hAnsi="Times New Roman" w:cs="Times New Roman"/>
                <w:sz w:val="24"/>
                <w:szCs w:val="24"/>
              </w:rPr>
              <w:t xml:space="preserve"> не по-малък от </w:t>
            </w:r>
            <w:r w:rsidRPr="00265CC0">
              <w:rPr>
                <w:rFonts w:ascii="Times New Roman" w:hAnsi="Times New Roman" w:cs="Times New Roman"/>
                <w:sz w:val="24"/>
                <w:szCs w:val="24"/>
              </w:rPr>
              <w:t>80 l</w:t>
            </w:r>
            <w:r w:rsidR="0091092F" w:rsidRPr="00265CC0">
              <w:rPr>
                <w:rFonts w:ascii="Times New Roman" w:hAnsi="Times New Roman" w:cs="Times New Roman"/>
                <w:sz w:val="24"/>
                <w:szCs w:val="24"/>
              </w:rPr>
              <w:t>.</w:t>
            </w:r>
          </w:p>
        </w:tc>
      </w:tr>
      <w:tr w:rsidR="00265CC0" w:rsidRPr="00265CC0" w:rsidTr="0055376D">
        <w:trPr>
          <w:trHeight w:val="294"/>
        </w:trPr>
        <w:tc>
          <w:tcPr>
            <w:tcW w:w="10348" w:type="dxa"/>
          </w:tcPr>
          <w:p w:rsidR="0091092F" w:rsidRPr="00265CC0" w:rsidRDefault="00E871E1" w:rsidP="007C1A0F">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5. </w:t>
            </w:r>
            <w:r w:rsidR="0091092F" w:rsidRPr="00265CC0">
              <w:rPr>
                <w:rFonts w:ascii="Times New Roman" w:hAnsi="Times New Roman" w:cs="Times New Roman"/>
                <w:b/>
                <w:sz w:val="24"/>
                <w:szCs w:val="24"/>
              </w:rPr>
              <w:t>Охладителна</w:t>
            </w:r>
            <w:r w:rsidR="007C1A0F"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 да осигурява:</w:t>
            </w:r>
          </w:p>
        </w:tc>
      </w:tr>
      <w:tr w:rsidR="00265CC0" w:rsidRPr="00265CC0" w:rsidTr="0055376D">
        <w:trPr>
          <w:trHeight w:val="449"/>
        </w:trPr>
        <w:tc>
          <w:tcPr>
            <w:tcW w:w="10348" w:type="dxa"/>
          </w:tcPr>
          <w:p w:rsidR="0091092F" w:rsidRPr="00265CC0" w:rsidRDefault="00D53BA5" w:rsidP="00F83157">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5.1. </w:t>
            </w:r>
            <w:r w:rsidR="007C1A0F" w:rsidRPr="00265CC0">
              <w:rPr>
                <w:rFonts w:ascii="Times New Roman" w:hAnsi="Times New Roman" w:cs="Times New Roman"/>
                <w:sz w:val="24"/>
                <w:szCs w:val="24"/>
              </w:rPr>
              <w:t>Нормална и непрекъсната работа на двигателя при температура на въздуха (околната среда) от -20 до +40 °С.</w:t>
            </w:r>
          </w:p>
        </w:tc>
      </w:tr>
      <w:tr w:rsidR="00265CC0" w:rsidRPr="00265CC0" w:rsidTr="0055376D">
        <w:trPr>
          <w:trHeight w:val="395"/>
        </w:trPr>
        <w:tc>
          <w:tcPr>
            <w:tcW w:w="10348" w:type="dxa"/>
          </w:tcPr>
          <w:p w:rsidR="0091092F" w:rsidRPr="00265CC0" w:rsidRDefault="00D53BA5"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5.2. </w:t>
            </w:r>
            <w:r w:rsidR="0091092F" w:rsidRPr="00265CC0">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265CC0" w:rsidRPr="00265CC0" w:rsidTr="0055376D">
        <w:trPr>
          <w:trHeight w:val="294"/>
        </w:trPr>
        <w:tc>
          <w:tcPr>
            <w:tcW w:w="10348" w:type="dxa"/>
          </w:tcPr>
          <w:p w:rsidR="0091092F" w:rsidRPr="00265CC0" w:rsidRDefault="00D53BA5"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6. </w:t>
            </w:r>
            <w:r w:rsidR="004D10A9" w:rsidRPr="00265CC0">
              <w:rPr>
                <w:rFonts w:ascii="Times New Roman" w:hAnsi="Times New Roman" w:cs="Times New Roman"/>
                <w:b/>
                <w:sz w:val="24"/>
                <w:szCs w:val="24"/>
              </w:rPr>
              <w:t>Волан (кормило):</w:t>
            </w:r>
          </w:p>
        </w:tc>
      </w:tr>
      <w:tr w:rsidR="00265CC0" w:rsidRPr="00265CC0" w:rsidTr="0055376D">
        <w:trPr>
          <w:trHeight w:val="294"/>
        </w:trPr>
        <w:tc>
          <w:tcPr>
            <w:tcW w:w="10348" w:type="dxa"/>
          </w:tcPr>
          <w:p w:rsidR="0091092F" w:rsidRPr="00265CC0" w:rsidRDefault="009918EC"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6.1. </w:t>
            </w:r>
            <w:r w:rsidR="0091092F" w:rsidRPr="00265CC0">
              <w:rPr>
                <w:rFonts w:ascii="Times New Roman" w:hAnsi="Times New Roman" w:cs="Times New Roman"/>
                <w:sz w:val="24"/>
                <w:szCs w:val="24"/>
              </w:rPr>
              <w:t>Да е разположен от лявата страна на колата и да е със сервоусилвател.</w:t>
            </w:r>
          </w:p>
        </w:tc>
      </w:tr>
      <w:tr w:rsidR="00265CC0" w:rsidRPr="00265CC0" w:rsidTr="0055376D">
        <w:trPr>
          <w:trHeight w:val="294"/>
        </w:trPr>
        <w:tc>
          <w:tcPr>
            <w:tcW w:w="10348" w:type="dxa"/>
          </w:tcPr>
          <w:p w:rsidR="0091092F" w:rsidRPr="00265CC0" w:rsidRDefault="009918EC" w:rsidP="003F332B">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6.2. </w:t>
            </w:r>
            <w:r w:rsidR="0091092F" w:rsidRPr="00265CC0">
              <w:rPr>
                <w:rFonts w:ascii="Times New Roman" w:hAnsi="Times New Roman" w:cs="Times New Roman"/>
                <w:sz w:val="24"/>
                <w:szCs w:val="24"/>
              </w:rPr>
              <w:t>Да е самоблокиращ се при изваждане на контактния ключ с вграден имобилайзер.</w:t>
            </w:r>
          </w:p>
        </w:tc>
      </w:tr>
      <w:tr w:rsidR="00265CC0" w:rsidRPr="00265CC0" w:rsidTr="0055376D">
        <w:trPr>
          <w:trHeight w:val="294"/>
        </w:trPr>
        <w:tc>
          <w:tcPr>
            <w:tcW w:w="10348" w:type="dxa"/>
          </w:tcPr>
          <w:p w:rsidR="005019A2" w:rsidRPr="00265CC0" w:rsidRDefault="005019A2" w:rsidP="005019A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6.3. Наличие на енергопоглъщаща структура.</w:t>
            </w:r>
          </w:p>
        </w:tc>
      </w:tr>
      <w:tr w:rsidR="00265CC0" w:rsidRPr="00265CC0" w:rsidTr="0055376D">
        <w:trPr>
          <w:trHeight w:val="294"/>
        </w:trPr>
        <w:tc>
          <w:tcPr>
            <w:tcW w:w="10348" w:type="dxa"/>
          </w:tcPr>
          <w:p w:rsidR="005019A2" w:rsidRPr="00265CC0" w:rsidRDefault="005019A2" w:rsidP="005019A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6.4. Регулируема подвижна кормилна колона.</w:t>
            </w:r>
          </w:p>
        </w:tc>
      </w:tr>
      <w:tr w:rsidR="00265CC0" w:rsidRPr="00265CC0" w:rsidTr="0055376D">
        <w:trPr>
          <w:trHeight w:val="294"/>
        </w:trPr>
        <w:tc>
          <w:tcPr>
            <w:tcW w:w="10348" w:type="dxa"/>
          </w:tcPr>
          <w:p w:rsidR="0091092F" w:rsidRPr="00265CC0" w:rsidRDefault="009918EC" w:rsidP="00D00FBF">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7. </w:t>
            </w:r>
            <w:r w:rsidR="0091092F" w:rsidRPr="00265CC0">
              <w:rPr>
                <w:rFonts w:ascii="Times New Roman" w:hAnsi="Times New Roman" w:cs="Times New Roman"/>
                <w:b/>
                <w:sz w:val="24"/>
                <w:szCs w:val="24"/>
              </w:rPr>
              <w:t xml:space="preserve">Колесна формула: </w:t>
            </w:r>
            <w:r w:rsidR="0091092F" w:rsidRPr="00265CC0">
              <w:rPr>
                <w:rFonts w:ascii="Times New Roman" w:hAnsi="Times New Roman" w:cs="Times New Roman"/>
                <w:sz w:val="24"/>
                <w:szCs w:val="24"/>
              </w:rPr>
              <w:t>4х</w:t>
            </w:r>
            <w:r w:rsidR="00C01F0C" w:rsidRPr="00265CC0">
              <w:rPr>
                <w:rFonts w:ascii="Times New Roman" w:hAnsi="Times New Roman" w:cs="Times New Roman"/>
                <w:sz w:val="24"/>
                <w:szCs w:val="24"/>
              </w:rPr>
              <w:t>4</w:t>
            </w:r>
          </w:p>
        </w:tc>
      </w:tr>
      <w:tr w:rsidR="00265CC0" w:rsidRPr="00265CC0" w:rsidTr="0055376D">
        <w:trPr>
          <w:trHeight w:val="294"/>
        </w:trPr>
        <w:tc>
          <w:tcPr>
            <w:tcW w:w="10348" w:type="dxa"/>
          </w:tcPr>
          <w:p w:rsidR="0091092F" w:rsidRPr="00265CC0" w:rsidRDefault="009918EC" w:rsidP="005B2530">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 xml:space="preserve">8. </w:t>
            </w:r>
            <w:r w:rsidR="00E16755" w:rsidRPr="00265CC0">
              <w:rPr>
                <w:rFonts w:ascii="Times New Roman" w:hAnsi="Times New Roman" w:cs="Times New Roman"/>
                <w:b/>
                <w:sz w:val="24"/>
                <w:szCs w:val="24"/>
              </w:rPr>
              <w:t>Предавателна (скоростна) кутия:</w:t>
            </w:r>
            <w:r w:rsidR="00E16755" w:rsidRPr="00265CC0">
              <w:rPr>
                <w:rFonts w:ascii="Times New Roman" w:hAnsi="Times New Roman" w:cs="Times New Roman"/>
                <w:sz w:val="24"/>
                <w:szCs w:val="24"/>
              </w:rPr>
              <w:t xml:space="preserve"> механична минимум 5-степенна (5+1 задна скорост)/автоматична.</w:t>
            </w:r>
          </w:p>
        </w:tc>
      </w:tr>
      <w:tr w:rsidR="00265CC0" w:rsidRPr="00265CC0" w:rsidTr="0055376D">
        <w:trPr>
          <w:trHeight w:val="294"/>
        </w:trPr>
        <w:tc>
          <w:tcPr>
            <w:tcW w:w="10348" w:type="dxa"/>
          </w:tcPr>
          <w:p w:rsidR="0091092F" w:rsidRPr="00265CC0" w:rsidRDefault="00CF499A" w:rsidP="003F332B">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 xml:space="preserve">9. </w:t>
            </w:r>
            <w:r w:rsidR="0091092F" w:rsidRPr="00265CC0">
              <w:rPr>
                <w:rFonts w:ascii="Times New Roman" w:hAnsi="Times New Roman" w:cs="Times New Roman"/>
                <w:b/>
                <w:sz w:val="24"/>
                <w:szCs w:val="24"/>
              </w:rPr>
              <w:t>Гуми:</w:t>
            </w:r>
          </w:p>
        </w:tc>
      </w:tr>
      <w:tr w:rsidR="00265CC0" w:rsidRPr="00265CC0" w:rsidTr="0055376D">
        <w:trPr>
          <w:trHeight w:val="294"/>
        </w:trPr>
        <w:tc>
          <w:tcPr>
            <w:tcW w:w="10348" w:type="dxa"/>
          </w:tcPr>
          <w:p w:rsidR="0091092F" w:rsidRPr="00265CC0" w:rsidRDefault="00CF499A" w:rsidP="00CF499A">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9.1. </w:t>
            </w:r>
            <w:r w:rsidR="005B2530" w:rsidRPr="00265CC0">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265CC0" w:rsidRPr="00265CC0" w:rsidTr="0055376D">
        <w:trPr>
          <w:trHeight w:val="294"/>
        </w:trPr>
        <w:tc>
          <w:tcPr>
            <w:tcW w:w="10348" w:type="dxa"/>
          </w:tcPr>
          <w:p w:rsidR="00C1040D" w:rsidRPr="00265CC0" w:rsidRDefault="00C1040D" w:rsidP="0040109A">
            <w:pPr>
              <w:spacing w:before="0" w:line="20" w:lineRule="atLeast"/>
              <w:rPr>
                <w:rFonts w:ascii="Times New Roman" w:hAnsi="Times New Roman" w:cs="Times New Roman"/>
                <w:b/>
                <w:bCs/>
                <w:sz w:val="24"/>
                <w:szCs w:val="24"/>
              </w:rPr>
            </w:pPr>
            <w:r w:rsidRPr="00265CC0">
              <w:rPr>
                <w:rFonts w:ascii="Times New Roman" w:hAnsi="Times New Roman" w:cs="Times New Roman"/>
                <w:b/>
                <w:bCs/>
                <w:sz w:val="24"/>
                <w:szCs w:val="24"/>
              </w:rPr>
              <w:t xml:space="preserve">10. </w:t>
            </w:r>
            <w:r w:rsidR="0040109A" w:rsidRPr="00265CC0">
              <w:rPr>
                <w:rFonts w:ascii="Times New Roman" w:hAnsi="Times New Roman" w:cs="Times New Roman"/>
                <w:b/>
                <w:bCs/>
                <w:sz w:val="24"/>
                <w:szCs w:val="24"/>
              </w:rPr>
              <w:t>Предни ф</w:t>
            </w:r>
            <w:r w:rsidRPr="00265CC0">
              <w:rPr>
                <w:rFonts w:ascii="Times New Roman" w:hAnsi="Times New Roman" w:cs="Times New Roman"/>
                <w:b/>
                <w:bCs/>
                <w:sz w:val="24"/>
                <w:szCs w:val="24"/>
              </w:rPr>
              <w:t>арове против мъгла</w:t>
            </w:r>
            <w:r w:rsidRPr="00265CC0">
              <w:rPr>
                <w:rFonts w:ascii="Times New Roman" w:hAnsi="Times New Roman" w:cs="Times New Roman"/>
                <w:sz w:val="24"/>
                <w:szCs w:val="24"/>
              </w:rPr>
              <w:t xml:space="preserve"> – 2 броя.</w:t>
            </w:r>
          </w:p>
        </w:tc>
      </w:tr>
      <w:tr w:rsidR="00265CC0" w:rsidRPr="00265CC0" w:rsidTr="0055376D">
        <w:trPr>
          <w:trHeight w:val="294"/>
        </w:trPr>
        <w:tc>
          <w:tcPr>
            <w:tcW w:w="10348" w:type="dxa"/>
          </w:tcPr>
          <w:p w:rsidR="006E66C6" w:rsidRPr="00265CC0" w:rsidRDefault="006E66C6"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11. Окачването да бъде от следния вид:</w:t>
            </w:r>
          </w:p>
        </w:tc>
      </w:tr>
      <w:tr w:rsidR="00265CC0" w:rsidRPr="00265CC0" w:rsidTr="0055376D">
        <w:trPr>
          <w:trHeight w:val="294"/>
        </w:trPr>
        <w:tc>
          <w:tcPr>
            <w:tcW w:w="10348" w:type="dxa"/>
          </w:tcPr>
          <w:p w:rsidR="00AB7032" w:rsidRPr="00265CC0" w:rsidRDefault="00AB7032" w:rsidP="00AB7032">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11.1. Предно, независимо, с газови или комбинирани амортисьори.</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2</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Спирачна</w:t>
            </w:r>
            <w:r w:rsidR="0040109A"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 да бъде:</w:t>
            </w:r>
          </w:p>
        </w:tc>
      </w:tr>
      <w:tr w:rsidR="00265CC0" w:rsidRPr="00265CC0" w:rsidTr="0055376D">
        <w:trPr>
          <w:trHeight w:val="294"/>
        </w:trPr>
        <w:tc>
          <w:tcPr>
            <w:tcW w:w="10348" w:type="dxa"/>
          </w:tcPr>
          <w:p w:rsidR="0091092F" w:rsidRPr="00265CC0" w:rsidRDefault="00C01F0C"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Независима двукръгова, със сервоусилвател</w:t>
            </w:r>
            <w:r w:rsidR="00C1040D" w:rsidRPr="00265CC0">
              <w:rPr>
                <w:rFonts w:ascii="Times New Roman" w:hAnsi="Times New Roman" w:cs="Times New Roman"/>
                <w:sz w:val="24"/>
                <w:szCs w:val="24"/>
              </w:rPr>
              <w:t>.</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.2. </w:t>
            </w:r>
            <w:r w:rsidR="0040109A" w:rsidRPr="00265CC0">
              <w:rPr>
                <w:rFonts w:ascii="Times New Roman" w:hAnsi="Times New Roman" w:cs="Times New Roman"/>
                <w:sz w:val="24"/>
                <w:szCs w:val="24"/>
              </w:rPr>
              <w:t>С предни дискови и задни дискови или барабанни спирачки.</w:t>
            </w:r>
          </w:p>
        </w:tc>
      </w:tr>
      <w:tr w:rsidR="00265CC0" w:rsidRPr="00265CC0" w:rsidTr="0055376D">
        <w:trPr>
          <w:trHeight w:val="294"/>
        </w:trPr>
        <w:tc>
          <w:tcPr>
            <w:tcW w:w="10348" w:type="dxa"/>
          </w:tcPr>
          <w:p w:rsidR="0091092F" w:rsidRPr="00265CC0" w:rsidRDefault="00C1040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.3. </w:t>
            </w:r>
            <w:r w:rsidR="0040109A" w:rsidRPr="00265CC0">
              <w:rPr>
                <w:rFonts w:ascii="Times New Roman" w:hAnsi="Times New Roman" w:cs="Times New Roman"/>
                <w:sz w:val="24"/>
                <w:szCs w:val="24"/>
              </w:rPr>
              <w:t>Да разполага с ABS (антиблокиращата система).</w:t>
            </w:r>
          </w:p>
        </w:tc>
      </w:tr>
      <w:tr w:rsidR="00265CC0" w:rsidRPr="00265CC0" w:rsidTr="0055376D">
        <w:trPr>
          <w:trHeight w:val="294"/>
        </w:trPr>
        <w:tc>
          <w:tcPr>
            <w:tcW w:w="10348" w:type="dxa"/>
          </w:tcPr>
          <w:p w:rsidR="0091092F" w:rsidRPr="00265CC0" w:rsidRDefault="00524DC5"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.4. </w:t>
            </w:r>
            <w:r w:rsidR="0040109A" w:rsidRPr="00265CC0">
              <w:rPr>
                <w:rFonts w:ascii="Times New Roman" w:hAnsi="Times New Roman" w:cs="Times New Roman"/>
                <w:sz w:val="24"/>
                <w:szCs w:val="24"/>
              </w:rPr>
              <w:t>Да разполага с ESP (система за контрол на стабилността) или еквивалент.</w:t>
            </w:r>
          </w:p>
        </w:tc>
      </w:tr>
      <w:tr w:rsidR="00265CC0" w:rsidRPr="00265CC0" w:rsidTr="0055376D">
        <w:trPr>
          <w:trHeight w:val="294"/>
        </w:trPr>
        <w:tc>
          <w:tcPr>
            <w:tcW w:w="10348" w:type="dxa"/>
          </w:tcPr>
          <w:p w:rsidR="0091092F" w:rsidRPr="00265CC0" w:rsidRDefault="005C28CD"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3</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Електрическа инсталация</w:t>
            </w:r>
            <w:r w:rsidR="0091092F" w:rsidRPr="00265CC0">
              <w:rPr>
                <w:rFonts w:ascii="Times New Roman" w:hAnsi="Times New Roman" w:cs="Times New Roman"/>
                <w:sz w:val="24"/>
                <w:szCs w:val="24"/>
              </w:rPr>
              <w:t xml:space="preserve"> - </w:t>
            </w:r>
            <w:r w:rsidR="009B1402" w:rsidRPr="00265CC0">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9B1402" w:rsidRPr="00265CC0">
              <w:rPr>
                <w:rFonts w:ascii="Times New Roman" w:hAnsi="Times New Roman" w:cs="Times New Roman"/>
                <w:sz w:val="24"/>
                <w:szCs w:val="24"/>
                <w:lang w:val="en-US"/>
              </w:rPr>
              <w:t>(</w:t>
            </w:r>
            <w:r w:rsidR="009B1402" w:rsidRPr="00265CC0">
              <w:rPr>
                <w:rFonts w:ascii="Times New Roman" w:hAnsi="Times New Roman" w:cs="Times New Roman"/>
                <w:sz w:val="24"/>
                <w:szCs w:val="24"/>
              </w:rPr>
              <w:t>система</w:t>
            </w:r>
            <w:r w:rsidR="009B1402" w:rsidRPr="00265CC0">
              <w:rPr>
                <w:rFonts w:ascii="Times New Roman" w:hAnsi="Times New Roman" w:cs="Times New Roman"/>
                <w:sz w:val="24"/>
                <w:szCs w:val="24"/>
                <w:lang w:val="en-US"/>
              </w:rPr>
              <w:t>)</w:t>
            </w:r>
            <w:r w:rsidR="009B1402" w:rsidRPr="00265CC0">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9B1402" w:rsidRPr="00265CC0">
              <w:rPr>
                <w:rFonts w:ascii="Times New Roman" w:hAnsi="Times New Roman" w:cs="Times New Roman"/>
                <w:bCs/>
                <w:sz w:val="24"/>
                <w:szCs w:val="24"/>
              </w:rPr>
              <w:t>:</w:t>
            </w:r>
          </w:p>
        </w:tc>
      </w:tr>
      <w:tr w:rsidR="00265CC0" w:rsidRPr="00265CC0" w:rsidTr="0055376D">
        <w:trPr>
          <w:trHeight w:val="294"/>
        </w:trPr>
        <w:tc>
          <w:tcPr>
            <w:tcW w:w="10348" w:type="dxa"/>
          </w:tcPr>
          <w:p w:rsidR="0091092F" w:rsidRPr="00265CC0" w:rsidRDefault="005C28C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 </w:t>
            </w:r>
            <w:r w:rsidR="00743E63" w:rsidRPr="00265CC0">
              <w:rPr>
                <w:rFonts w:ascii="Times New Roman" w:hAnsi="Times New Roman" w:cs="Times New Roman"/>
                <w:sz w:val="24"/>
                <w:szCs w:val="24"/>
              </w:rPr>
              <w:t>12V с минус на обща маса.</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.2. </w:t>
            </w:r>
            <w:r w:rsidR="00182C62" w:rsidRPr="00265CC0">
              <w:rPr>
                <w:rFonts w:ascii="Times New Roman" w:hAnsi="Times New Roman" w:cs="Times New Roman"/>
                <w:sz w:val="24"/>
                <w:szCs w:val="24"/>
              </w:rPr>
              <w:t xml:space="preserve">С </w:t>
            </w:r>
            <w:r w:rsidR="007A648C" w:rsidRPr="00265CC0">
              <w:rPr>
                <w:rFonts w:ascii="Times New Roman" w:hAnsi="Times New Roman" w:cs="Times New Roman"/>
                <w:sz w:val="24"/>
                <w:szCs w:val="24"/>
              </w:rPr>
              <w:t xml:space="preserve">минимум </w:t>
            </w:r>
            <w:r w:rsidR="00182C62" w:rsidRPr="00265CC0">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A31E05" w:rsidRPr="00265CC0">
              <w:rPr>
                <w:rFonts w:ascii="Times New Roman" w:hAnsi="Times New Roman" w:cs="Times New Roman"/>
                <w:bCs/>
                <w:sz w:val="24"/>
                <w:szCs w:val="24"/>
              </w:rPr>
              <w:t>БДС EN</w:t>
            </w:r>
            <w:r w:rsidR="00A31E05" w:rsidRPr="00265CC0">
              <w:rPr>
                <w:rFonts w:ascii="Times New Roman" w:hAnsi="Times New Roman" w:cs="Times New Roman"/>
                <w:sz w:val="24"/>
                <w:szCs w:val="24"/>
              </w:rPr>
              <w:t xml:space="preserve"> </w:t>
            </w:r>
            <w:r w:rsidR="00182C62" w:rsidRPr="00265CC0">
              <w:rPr>
                <w:rFonts w:ascii="Times New Roman" w:hAnsi="Times New Roman" w:cs="Times New Roman"/>
                <w:sz w:val="24"/>
                <w:szCs w:val="24"/>
              </w:rPr>
              <w:t>1789:2007+A2:2014 (или еквивалент) за линейка тип В.</w:t>
            </w:r>
          </w:p>
        </w:tc>
      </w:tr>
      <w:tr w:rsidR="00265CC0" w:rsidRPr="00265CC0" w:rsidTr="0055376D">
        <w:trPr>
          <w:trHeight w:val="294"/>
        </w:trPr>
        <w:tc>
          <w:tcPr>
            <w:tcW w:w="10348" w:type="dxa"/>
          </w:tcPr>
          <w:p w:rsidR="0091092F" w:rsidRPr="00265CC0" w:rsidRDefault="00E53158" w:rsidP="00C01F0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.3. </w:t>
            </w:r>
            <w:r w:rsidR="00E7455C" w:rsidRPr="00265CC0">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.4. </w:t>
            </w:r>
            <w:r w:rsidR="00E6457E" w:rsidRPr="00265CC0">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.5. </w:t>
            </w:r>
            <w:r w:rsidR="00E7455C" w:rsidRPr="00265CC0">
              <w:rPr>
                <w:rFonts w:ascii="Times New Roman" w:hAnsi="Times New Roman" w:cs="Times New Roman"/>
                <w:sz w:val="24"/>
                <w:szCs w:val="24"/>
              </w:rPr>
              <w:t>Всички електрически вериги в допълнителната електрическа система да имат отделен предпазител за претоварване.</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.6. </w:t>
            </w:r>
            <w:r w:rsidR="0091092F" w:rsidRPr="00265CC0">
              <w:rPr>
                <w:rFonts w:ascii="Times New Roman" w:hAnsi="Times New Roman" w:cs="Times New Roman"/>
                <w:sz w:val="24"/>
                <w:szCs w:val="24"/>
              </w:rPr>
              <w:t xml:space="preserve">Предпазителите за електрическата система на </w:t>
            </w:r>
            <w:r w:rsidRPr="00265CC0">
              <w:rPr>
                <w:rFonts w:ascii="Times New Roman" w:hAnsi="Times New Roman" w:cs="Times New Roman"/>
                <w:sz w:val="24"/>
                <w:szCs w:val="24"/>
              </w:rPr>
              <w:t>линейката</w:t>
            </w:r>
            <w:r w:rsidR="0091092F" w:rsidRPr="00265CC0">
              <w:rPr>
                <w:rFonts w:ascii="Times New Roman" w:hAnsi="Times New Roman" w:cs="Times New Roman"/>
                <w:sz w:val="24"/>
                <w:szCs w:val="24"/>
              </w:rPr>
              <w:t xml:space="preserve"> и за допълнително монтираното </w:t>
            </w:r>
            <w:r w:rsidR="0091092F" w:rsidRPr="00265CC0">
              <w:rPr>
                <w:rFonts w:ascii="Times New Roman" w:hAnsi="Times New Roman" w:cs="Times New Roman"/>
                <w:sz w:val="24"/>
                <w:szCs w:val="24"/>
              </w:rPr>
              <w:lastRenderedPageBreak/>
              <w:t>оборудване трябва да са групирани в едно табло.</w:t>
            </w:r>
          </w:p>
        </w:tc>
      </w:tr>
      <w:tr w:rsidR="00265CC0" w:rsidRPr="00265CC0" w:rsidTr="0055376D">
        <w:trPr>
          <w:trHeight w:val="294"/>
        </w:trPr>
        <w:tc>
          <w:tcPr>
            <w:tcW w:w="10348" w:type="dxa"/>
          </w:tcPr>
          <w:p w:rsidR="0091092F" w:rsidRPr="00265CC0" w:rsidRDefault="00E5315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.7. </w:t>
            </w:r>
            <w:r w:rsidR="00C6029E" w:rsidRPr="00265CC0">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265CC0" w:rsidRPr="00265CC0" w:rsidTr="0055376D">
        <w:trPr>
          <w:trHeight w:val="294"/>
        </w:trPr>
        <w:tc>
          <w:tcPr>
            <w:tcW w:w="10348" w:type="dxa"/>
          </w:tcPr>
          <w:p w:rsidR="0091092F" w:rsidRPr="00265CC0" w:rsidRDefault="00060FB9"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.8. </w:t>
            </w:r>
            <w:r w:rsidR="0091092F" w:rsidRPr="00265CC0">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265CC0" w:rsidRPr="00265CC0" w:rsidTr="0055376D">
        <w:trPr>
          <w:trHeight w:val="294"/>
        </w:trPr>
        <w:tc>
          <w:tcPr>
            <w:tcW w:w="10348" w:type="dxa"/>
          </w:tcPr>
          <w:p w:rsidR="0091092F" w:rsidRPr="00265CC0" w:rsidRDefault="00A36B87"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.9. </w:t>
            </w:r>
            <w:r w:rsidR="00C6029E" w:rsidRPr="00265CC0">
              <w:rPr>
                <w:rFonts w:ascii="Times New Roman" w:hAnsi="Times New Roman" w:cs="Times New Roman"/>
                <w:sz w:val="24"/>
                <w:szCs w:val="24"/>
              </w:rPr>
              <w:t>Да има вградени два инвертора в медицинския отсек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V/50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Hz AC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променливо напрежение</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до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DC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постоянно напрежение</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и от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DC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постоянно напрежение</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 xml:space="preserve"> до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V/50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Hz AC </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променливо напрежение</w:t>
            </w:r>
            <w:r w:rsidR="00C6029E" w:rsidRPr="00265CC0">
              <w:rPr>
                <w:rFonts w:ascii="Times New Roman" w:hAnsi="Times New Roman" w:cs="Times New Roman"/>
                <w:sz w:val="24"/>
                <w:szCs w:val="24"/>
                <w:lang w:val="en-US"/>
              </w:rPr>
              <w:t>)</w:t>
            </w:r>
            <w:r w:rsidR="00C6029E" w:rsidRPr="00265CC0">
              <w:rPr>
                <w:rFonts w:ascii="Times New Roman" w:hAnsi="Times New Roman" w:cs="Times New Roman"/>
                <w:sz w:val="24"/>
                <w:szCs w:val="24"/>
              </w:rPr>
              <w:t xml:space="preserve">, всеки </w:t>
            </w:r>
            <w:r w:rsidR="006958E6" w:rsidRPr="00265CC0">
              <w:rPr>
                <w:rFonts w:ascii="Times New Roman" w:hAnsi="Times New Roman" w:cs="Times New Roman"/>
                <w:sz w:val="24"/>
                <w:szCs w:val="24"/>
              </w:rPr>
              <w:t xml:space="preserve">с мощност </w:t>
            </w:r>
            <w:r w:rsidR="00C6029E" w:rsidRPr="00265CC0">
              <w:rPr>
                <w:rFonts w:ascii="Times New Roman" w:hAnsi="Times New Roman" w:cs="Times New Roman"/>
                <w:sz w:val="24"/>
                <w:szCs w:val="24"/>
              </w:rPr>
              <w:t>по 1000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W.</w:t>
            </w:r>
          </w:p>
        </w:tc>
      </w:tr>
      <w:tr w:rsidR="00265CC0" w:rsidRPr="00265CC0" w:rsidTr="0055376D">
        <w:trPr>
          <w:trHeight w:val="294"/>
        </w:trPr>
        <w:tc>
          <w:tcPr>
            <w:tcW w:w="10348" w:type="dxa"/>
          </w:tcPr>
          <w:p w:rsidR="00040E4C" w:rsidRPr="00265CC0" w:rsidRDefault="00252C1B"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.10. </w:t>
            </w:r>
            <w:r w:rsidR="00C6029E" w:rsidRPr="00265CC0">
              <w:rPr>
                <w:rFonts w:ascii="Times New Roman" w:hAnsi="Times New Roman" w:cs="Times New Roman"/>
                <w:sz w:val="24"/>
                <w:szCs w:val="24"/>
              </w:rPr>
              <w:t>Да има водоустойчив захранващ контакт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 xml:space="preserve">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w:t>
            </w:r>
            <w:r w:rsidR="00040E4C" w:rsidRPr="00265CC0">
              <w:rPr>
                <w:rFonts w:ascii="Times New Roman" w:hAnsi="Times New Roman" w:cs="Times New Roman"/>
                <w:sz w:val="24"/>
                <w:szCs w:val="24"/>
              </w:rPr>
              <w:t>движи и дава възможност чрез външното захранване да се извършва:</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зареждане на акумулаторите;</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медицинските изделия;</w:t>
            </w:r>
          </w:p>
          <w:p w:rsidR="00040E4C"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отоплителя в санитарното отделение;</w:t>
            </w:r>
          </w:p>
          <w:p w:rsidR="0091092F" w:rsidRPr="00265CC0" w:rsidRDefault="00040E4C" w:rsidP="00040E4C">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работа на подгревателя на двигателя (когато такъв е наличен).</w:t>
            </w:r>
          </w:p>
        </w:tc>
      </w:tr>
      <w:tr w:rsidR="00265CC0" w:rsidRPr="00265CC0" w:rsidTr="0055376D">
        <w:trPr>
          <w:trHeight w:val="294"/>
        </w:trPr>
        <w:tc>
          <w:tcPr>
            <w:tcW w:w="10348" w:type="dxa"/>
          </w:tcPr>
          <w:p w:rsidR="0091092F" w:rsidRPr="00265CC0" w:rsidRDefault="00D96DDA"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.11. </w:t>
            </w:r>
            <w:r w:rsidR="00C6029E" w:rsidRPr="00265CC0">
              <w:rPr>
                <w:rFonts w:ascii="Times New Roman" w:hAnsi="Times New Roman" w:cs="Times New Roman"/>
                <w:sz w:val="24"/>
                <w:szCs w:val="24"/>
              </w:rPr>
              <w:t>Да има захранващо устройство, осигуряващо зареждане на акумулаторите от мрежата ~220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 при спрял автомобил. Същото да е с възможност да подава захранване за 12</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V акумулатори с автоматична или ръчно регулиране на зарядния ток до 10</w:t>
            </w:r>
            <w:r w:rsidR="00C6029E" w:rsidRPr="00265CC0">
              <w:rPr>
                <w:rFonts w:ascii="Times New Roman" w:hAnsi="Times New Roman" w:cs="Times New Roman"/>
                <w:sz w:val="24"/>
                <w:szCs w:val="24"/>
                <w:lang w:val="en-US"/>
              </w:rPr>
              <w:t xml:space="preserve"> </w:t>
            </w:r>
            <w:r w:rsidR="00C6029E" w:rsidRPr="00265CC0">
              <w:rPr>
                <w:rFonts w:ascii="Times New Roman" w:hAnsi="Times New Roman" w:cs="Times New Roman"/>
                <w:sz w:val="24"/>
                <w:szCs w:val="24"/>
              </w:rPr>
              <w:t>А.</w:t>
            </w:r>
          </w:p>
        </w:tc>
      </w:tr>
      <w:tr w:rsidR="00265CC0" w:rsidRPr="00265CC0" w:rsidTr="0055376D">
        <w:trPr>
          <w:trHeight w:val="294"/>
        </w:trPr>
        <w:tc>
          <w:tcPr>
            <w:tcW w:w="10348" w:type="dxa"/>
          </w:tcPr>
          <w:p w:rsidR="0091092F" w:rsidRPr="00265CC0" w:rsidRDefault="009F6784"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.12. </w:t>
            </w:r>
            <w:r w:rsidR="00C6029E" w:rsidRPr="00265CC0">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265CC0" w:rsidRPr="00265CC0" w:rsidTr="0055376D">
        <w:trPr>
          <w:trHeight w:val="294"/>
        </w:trPr>
        <w:tc>
          <w:tcPr>
            <w:tcW w:w="10348" w:type="dxa"/>
          </w:tcPr>
          <w:p w:rsidR="0091092F" w:rsidRPr="00265CC0" w:rsidRDefault="008C5F2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.1</w:t>
            </w:r>
            <w:r w:rsidR="00C6029E" w:rsidRPr="00265CC0">
              <w:rPr>
                <w:rFonts w:ascii="Times New Roman" w:hAnsi="Times New Roman" w:cs="Times New Roman"/>
                <w:sz w:val="24"/>
                <w:szCs w:val="24"/>
              </w:rPr>
              <w:t>3</w:t>
            </w:r>
            <w:r w:rsidRPr="00265CC0">
              <w:rPr>
                <w:rFonts w:ascii="Times New Roman" w:hAnsi="Times New Roman" w:cs="Times New Roman"/>
                <w:sz w:val="24"/>
                <w:szCs w:val="24"/>
              </w:rPr>
              <w:t xml:space="preserve">. </w:t>
            </w:r>
            <w:r w:rsidR="00C6029E" w:rsidRPr="00265CC0">
              <w:rPr>
                <w:rFonts w:ascii="Times New Roman" w:hAnsi="Times New Roman" w:cs="Times New Roman"/>
                <w:sz w:val="24"/>
                <w:szCs w:val="24"/>
              </w:rPr>
              <w:t>Захранването ~220 V да е защитено при ток от утечка към масата (шасито, купето) с предпазител от 30 mA, или чрез разделящ трансформатор.</w:t>
            </w:r>
          </w:p>
        </w:tc>
      </w:tr>
      <w:tr w:rsidR="00265CC0" w:rsidRPr="00265CC0" w:rsidTr="0055376D">
        <w:trPr>
          <w:trHeight w:val="307"/>
        </w:trPr>
        <w:tc>
          <w:tcPr>
            <w:tcW w:w="10348" w:type="dxa"/>
          </w:tcPr>
          <w:p w:rsidR="0091092F" w:rsidRPr="00265CC0" w:rsidRDefault="00631363" w:rsidP="006E4702">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4</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Шофьорска кабина:</w:t>
            </w:r>
          </w:p>
        </w:tc>
      </w:tr>
      <w:tr w:rsidR="00265CC0" w:rsidRPr="00265CC0" w:rsidTr="0055376D">
        <w:trPr>
          <w:trHeight w:val="783"/>
        </w:trPr>
        <w:tc>
          <w:tcPr>
            <w:tcW w:w="10348" w:type="dxa"/>
          </w:tcPr>
          <w:p w:rsidR="0091092F" w:rsidRPr="00265CC0" w:rsidRDefault="00631363"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.1. </w:t>
            </w:r>
            <w:r w:rsidR="0055376D" w:rsidRPr="00265CC0">
              <w:rPr>
                <w:rFonts w:ascii="Times New Roman" w:hAnsi="Times New Roman" w:cs="Times New Roman"/>
                <w:sz w:val="24"/>
                <w:szCs w:val="24"/>
              </w:rPr>
              <w:t>Да е отделена от санитарното отделение, чрез твърда отвесна преграда</w:t>
            </w:r>
            <w:r w:rsidR="0055376D" w:rsidRPr="00265CC0">
              <w:t xml:space="preserve"> </w:t>
            </w:r>
            <w:r w:rsidR="0055376D" w:rsidRPr="00265CC0">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265CC0" w:rsidRPr="00265CC0" w:rsidTr="0055376D">
        <w:tc>
          <w:tcPr>
            <w:tcW w:w="10348" w:type="dxa"/>
          </w:tcPr>
          <w:p w:rsidR="0091092F" w:rsidRPr="00265CC0" w:rsidRDefault="00A83CF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00631363" w:rsidRPr="00265CC0">
              <w:rPr>
                <w:rFonts w:ascii="Times New Roman" w:hAnsi="Times New Roman" w:cs="Times New Roman"/>
                <w:sz w:val="24"/>
                <w:szCs w:val="24"/>
              </w:rPr>
              <w:t xml:space="preserve">.2. </w:t>
            </w:r>
            <w:r w:rsidR="0055376D" w:rsidRPr="00265CC0">
              <w:rPr>
                <w:rFonts w:ascii="Times New Roman" w:hAnsi="Times New Roman" w:cs="Times New Roman"/>
                <w:sz w:val="24"/>
                <w:szCs w:val="24"/>
              </w:rPr>
              <w:t xml:space="preserve">Седалката на шофьора плюс една двойна/две единични седалка/и отпред.   </w:t>
            </w:r>
          </w:p>
        </w:tc>
      </w:tr>
      <w:tr w:rsidR="00265CC0" w:rsidRPr="00265CC0" w:rsidTr="0055376D">
        <w:tc>
          <w:tcPr>
            <w:tcW w:w="10348" w:type="dxa"/>
          </w:tcPr>
          <w:p w:rsidR="0055376D" w:rsidRPr="00265CC0" w:rsidRDefault="0055376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265CC0" w:rsidRPr="00265CC0" w:rsidTr="0055376D">
        <w:tc>
          <w:tcPr>
            <w:tcW w:w="10348" w:type="dxa"/>
          </w:tcPr>
          <w:p w:rsidR="0091092F" w:rsidRPr="00265CC0" w:rsidRDefault="00451243"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C1830" w:rsidRPr="00265CC0">
              <w:rPr>
                <w:rFonts w:ascii="Times New Roman" w:hAnsi="Times New Roman" w:cs="Times New Roman"/>
                <w:sz w:val="24"/>
                <w:szCs w:val="24"/>
              </w:rPr>
              <w:t xml:space="preserve"> на водача,</w:t>
            </w:r>
            <w:r w:rsidR="0091092F" w:rsidRPr="00265CC0">
              <w:rPr>
                <w:rFonts w:ascii="Times New Roman" w:hAnsi="Times New Roman" w:cs="Times New Roman"/>
                <w:sz w:val="24"/>
                <w:szCs w:val="24"/>
              </w:rPr>
              <w:t xml:space="preserve"> да не се намаляват.</w:t>
            </w:r>
          </w:p>
        </w:tc>
      </w:tr>
      <w:tr w:rsidR="00265CC0" w:rsidRPr="00265CC0" w:rsidTr="0055376D">
        <w:tc>
          <w:tcPr>
            <w:tcW w:w="10348" w:type="dxa"/>
          </w:tcPr>
          <w:p w:rsidR="0091092F" w:rsidRPr="00265CC0" w:rsidRDefault="00451243" w:rsidP="006E66C6">
            <w:pPr>
              <w:tabs>
                <w:tab w:val="right" w:pos="361"/>
              </w:tabs>
              <w:spacing w:before="0" w:line="20" w:lineRule="atLeast"/>
              <w:ind w:left="973" w:hanging="973"/>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.4. </w:t>
            </w:r>
            <w:r w:rsidR="00537270" w:rsidRPr="00265CC0">
              <w:rPr>
                <w:rFonts w:ascii="Times New Roman" w:hAnsi="Times New Roman" w:cs="Times New Roman"/>
                <w:sz w:val="24"/>
                <w:szCs w:val="24"/>
              </w:rPr>
              <w:t>Въздушни възглавници: не по-малко от две (за шофьора и за пътниците до него).</w:t>
            </w:r>
          </w:p>
        </w:tc>
      </w:tr>
      <w:tr w:rsidR="00265CC0" w:rsidRPr="00265CC0" w:rsidTr="0055376D">
        <w:tc>
          <w:tcPr>
            <w:tcW w:w="10348" w:type="dxa"/>
          </w:tcPr>
          <w:p w:rsidR="0091092F" w:rsidRPr="00265CC0" w:rsidRDefault="00451243" w:rsidP="006E66C6">
            <w:pPr>
              <w:tabs>
                <w:tab w:val="right" w:pos="3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.5. </w:t>
            </w:r>
            <w:r w:rsidR="006425B8" w:rsidRPr="00265CC0">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265CC0" w:rsidRPr="00265CC0" w:rsidTr="0055376D">
        <w:tc>
          <w:tcPr>
            <w:tcW w:w="10348" w:type="dxa"/>
          </w:tcPr>
          <w:p w:rsidR="0091092F" w:rsidRPr="00265CC0" w:rsidRDefault="00FE0C8D" w:rsidP="00A83CFD">
            <w:pPr>
              <w:tabs>
                <w:tab w:val="right" w:pos="361"/>
              </w:tabs>
              <w:spacing w:before="0" w:line="20" w:lineRule="atLeast"/>
              <w:ind w:left="973" w:hanging="973"/>
              <w:rPr>
                <w:rFonts w:ascii="Times New Roman" w:hAnsi="Times New Roman" w:cs="Times New Roman"/>
                <w:sz w:val="24"/>
                <w:szCs w:val="24"/>
              </w:rPr>
            </w:pPr>
            <w:r w:rsidRPr="00265CC0">
              <w:rPr>
                <w:rFonts w:ascii="Times New Roman" w:hAnsi="Times New Roman" w:cs="Times New Roman"/>
                <w:b/>
                <w:bCs/>
                <w:sz w:val="24"/>
                <w:szCs w:val="24"/>
              </w:rPr>
              <w:t>1</w:t>
            </w:r>
            <w:r w:rsidR="006E66C6" w:rsidRPr="00265CC0">
              <w:rPr>
                <w:rFonts w:ascii="Times New Roman" w:hAnsi="Times New Roman" w:cs="Times New Roman"/>
                <w:b/>
                <w:bCs/>
                <w:sz w:val="24"/>
                <w:szCs w:val="24"/>
              </w:rPr>
              <w:t>5</w:t>
            </w:r>
            <w:r w:rsidRPr="00265CC0">
              <w:rPr>
                <w:rFonts w:ascii="Times New Roman" w:hAnsi="Times New Roman" w:cs="Times New Roman"/>
                <w:b/>
                <w:bCs/>
                <w:sz w:val="24"/>
                <w:szCs w:val="24"/>
              </w:rPr>
              <w:t>.</w:t>
            </w:r>
            <w:r w:rsidRPr="00265CC0">
              <w:rPr>
                <w:rFonts w:ascii="Times New Roman" w:hAnsi="Times New Roman" w:cs="Times New Roman"/>
                <w:sz w:val="24"/>
                <w:szCs w:val="24"/>
              </w:rPr>
              <w:t xml:space="preserve"> </w:t>
            </w:r>
            <w:r w:rsidRPr="00265CC0">
              <w:rPr>
                <w:rFonts w:ascii="Times New Roman" w:hAnsi="Times New Roman" w:cs="Times New Roman"/>
                <w:b/>
                <w:sz w:val="24"/>
                <w:szCs w:val="24"/>
              </w:rPr>
              <w:t>Друга окомплектовка</w:t>
            </w:r>
            <w:r w:rsidR="0091092F" w:rsidRPr="00265CC0">
              <w:rPr>
                <w:rFonts w:ascii="Times New Roman" w:hAnsi="Times New Roman" w:cs="Times New Roman"/>
                <w:b/>
                <w:sz w:val="24"/>
                <w:szCs w:val="24"/>
              </w:rPr>
              <w:t xml:space="preserve">: </w:t>
            </w:r>
          </w:p>
        </w:tc>
      </w:tr>
      <w:tr w:rsidR="00265CC0" w:rsidRPr="00265CC0" w:rsidTr="0055376D">
        <w:trPr>
          <w:trHeight w:val="571"/>
        </w:trPr>
        <w:tc>
          <w:tcPr>
            <w:tcW w:w="10348" w:type="dxa"/>
          </w:tcPr>
          <w:p w:rsidR="0091092F" w:rsidRPr="00265CC0" w:rsidRDefault="00FE0C8D"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.1. </w:t>
            </w:r>
            <w:r w:rsidR="00E5031E" w:rsidRPr="00265CC0">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265CC0" w:rsidRPr="00265CC0" w:rsidTr="0055376D">
        <w:tc>
          <w:tcPr>
            <w:tcW w:w="10348" w:type="dxa"/>
          </w:tcPr>
          <w:p w:rsidR="0091092F" w:rsidRPr="00265CC0" w:rsidRDefault="00B03B65"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Блок за контрол и управление на специалните звукови и светлинни сигнали.</w:t>
            </w:r>
          </w:p>
        </w:tc>
      </w:tr>
      <w:tr w:rsidR="00265CC0" w:rsidRPr="00265CC0" w:rsidTr="0055376D">
        <w:tc>
          <w:tcPr>
            <w:tcW w:w="10348" w:type="dxa"/>
          </w:tcPr>
          <w:p w:rsidR="0091092F" w:rsidRPr="00265CC0" w:rsidRDefault="00C65968"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5</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 xml:space="preserve">Пожарогасител сух тип, над 2.5 </w:t>
            </w:r>
            <w:r w:rsidRPr="00265CC0">
              <w:rPr>
                <w:rFonts w:ascii="Times New Roman" w:hAnsi="Times New Roman" w:cs="Times New Roman"/>
                <w:sz w:val="24"/>
                <w:szCs w:val="24"/>
                <w:lang w:val="en-US"/>
              </w:rPr>
              <w:t>kg</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55376D" w:rsidRPr="00265CC0" w:rsidRDefault="0055376D" w:rsidP="0055376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265CC0" w:rsidRPr="00265CC0" w:rsidTr="0055376D">
        <w:tc>
          <w:tcPr>
            <w:tcW w:w="10348" w:type="dxa"/>
          </w:tcPr>
          <w:p w:rsidR="0055376D" w:rsidRPr="00265CC0" w:rsidRDefault="0055376D" w:rsidP="0055376D">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265CC0" w:rsidRPr="00265CC0" w:rsidTr="0055376D">
        <w:trPr>
          <w:trHeight w:val="173"/>
        </w:trPr>
        <w:tc>
          <w:tcPr>
            <w:tcW w:w="10348" w:type="dxa"/>
          </w:tcPr>
          <w:p w:rsidR="0091092F" w:rsidRPr="00265CC0" w:rsidRDefault="00613AB1" w:rsidP="00A83CFD">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lastRenderedPageBreak/>
              <w:t>1</w:t>
            </w:r>
            <w:r w:rsidR="006E66C6" w:rsidRPr="00265CC0">
              <w:rPr>
                <w:rFonts w:ascii="Times New Roman" w:hAnsi="Times New Roman" w:cs="Times New Roman"/>
                <w:b/>
                <w:sz w:val="24"/>
                <w:szCs w:val="24"/>
              </w:rPr>
              <w:t>6</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Санитарн</w:t>
            </w:r>
            <w:r w:rsidRPr="00265CC0">
              <w:rPr>
                <w:rFonts w:ascii="Times New Roman" w:hAnsi="Times New Roman" w:cs="Times New Roman"/>
                <w:b/>
                <w:sz w:val="24"/>
                <w:szCs w:val="24"/>
              </w:rPr>
              <w:t>о</w:t>
            </w:r>
            <w:r w:rsidR="0091092F" w:rsidRPr="00265CC0">
              <w:rPr>
                <w:rFonts w:ascii="Times New Roman" w:hAnsi="Times New Roman" w:cs="Times New Roman"/>
                <w:b/>
                <w:sz w:val="24"/>
                <w:szCs w:val="24"/>
              </w:rPr>
              <w:t xml:space="preserve"> </w:t>
            </w:r>
            <w:r w:rsidRPr="00265CC0">
              <w:rPr>
                <w:rFonts w:ascii="Times New Roman" w:hAnsi="Times New Roman" w:cs="Times New Roman"/>
                <w:b/>
                <w:sz w:val="24"/>
                <w:szCs w:val="24"/>
              </w:rPr>
              <w:t>отделение</w:t>
            </w:r>
            <w:r w:rsidR="0091092F" w:rsidRPr="00265CC0">
              <w:rPr>
                <w:rFonts w:ascii="Times New Roman" w:hAnsi="Times New Roman" w:cs="Times New Roman"/>
                <w:b/>
                <w:sz w:val="24"/>
                <w:szCs w:val="24"/>
              </w:rPr>
              <w:t xml:space="preserve">: </w:t>
            </w:r>
          </w:p>
        </w:tc>
      </w:tr>
      <w:tr w:rsidR="00265CC0" w:rsidRPr="00265CC0" w:rsidTr="0055376D">
        <w:trPr>
          <w:trHeight w:val="241"/>
        </w:trPr>
        <w:tc>
          <w:tcPr>
            <w:tcW w:w="10348" w:type="dxa"/>
          </w:tcPr>
          <w:p w:rsidR="0091092F" w:rsidRPr="00265CC0" w:rsidRDefault="001450D2"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Да съответств</w:t>
            </w:r>
            <w:r w:rsidR="002342B9"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w:t>
            </w:r>
            <w:r w:rsidR="002342B9" w:rsidRPr="00265CC0">
              <w:rPr>
                <w:rFonts w:ascii="Times New Roman" w:hAnsi="Times New Roman" w:cs="Times New Roman"/>
                <w:sz w:val="24"/>
                <w:szCs w:val="24"/>
              </w:rPr>
              <w:t>на</w:t>
            </w:r>
            <w:r w:rsidR="0091092F" w:rsidRPr="00265CC0">
              <w:rPr>
                <w:rFonts w:ascii="Times New Roman" w:hAnsi="Times New Roman" w:cs="Times New Roman"/>
                <w:sz w:val="24"/>
                <w:szCs w:val="24"/>
              </w:rPr>
              <w:t xml:space="preserve"> стандарт </w:t>
            </w:r>
            <w:r w:rsidR="00A31E05" w:rsidRPr="00265CC0">
              <w:rPr>
                <w:rFonts w:ascii="Times New Roman" w:hAnsi="Times New Roman" w:cs="Times New Roman"/>
                <w:bCs/>
                <w:sz w:val="24"/>
                <w:szCs w:val="24"/>
              </w:rPr>
              <w:t>БДС EN</w:t>
            </w:r>
            <w:r w:rsidR="00A31E05" w:rsidRPr="00265CC0">
              <w:rPr>
                <w:rFonts w:ascii="Times New Roman" w:hAnsi="Times New Roman" w:cs="Times New Roman"/>
                <w:sz w:val="24"/>
                <w:szCs w:val="24"/>
              </w:rPr>
              <w:t xml:space="preserve"> </w:t>
            </w:r>
            <w:r w:rsidR="0091092F" w:rsidRPr="00265CC0">
              <w:rPr>
                <w:rFonts w:ascii="Times New Roman" w:hAnsi="Times New Roman" w:cs="Times New Roman"/>
                <w:sz w:val="24"/>
                <w:szCs w:val="24"/>
              </w:rPr>
              <w:t xml:space="preserve">1789:2007+A2:2014 </w:t>
            </w:r>
            <w:r w:rsidR="00FD1EF5" w:rsidRPr="00265CC0">
              <w:rPr>
                <w:rFonts w:ascii="Times New Roman" w:hAnsi="Times New Roman" w:cs="Times New Roman"/>
                <w:sz w:val="24"/>
                <w:szCs w:val="24"/>
              </w:rPr>
              <w:t xml:space="preserve">(или еквивалент) </w:t>
            </w:r>
            <w:r w:rsidR="0091092F" w:rsidRPr="00265CC0">
              <w:rPr>
                <w:rFonts w:ascii="Times New Roman" w:hAnsi="Times New Roman" w:cs="Times New Roman"/>
                <w:sz w:val="24"/>
                <w:szCs w:val="24"/>
              </w:rPr>
              <w:t xml:space="preserve">за </w:t>
            </w:r>
            <w:r w:rsidR="00886ED4" w:rsidRPr="00265CC0">
              <w:rPr>
                <w:rFonts w:ascii="Times New Roman" w:hAnsi="Times New Roman" w:cs="Times New Roman"/>
                <w:sz w:val="24"/>
                <w:szCs w:val="24"/>
              </w:rPr>
              <w:t>линейка</w:t>
            </w:r>
            <w:r w:rsidR="0091092F" w:rsidRPr="00265CC0">
              <w:rPr>
                <w:rFonts w:ascii="Times New Roman" w:hAnsi="Times New Roman" w:cs="Times New Roman"/>
                <w:sz w:val="24"/>
                <w:szCs w:val="24"/>
              </w:rPr>
              <w:t xml:space="preserve"> тип </w:t>
            </w:r>
            <w:r w:rsidR="009E32E1" w:rsidRPr="00265CC0">
              <w:rPr>
                <w:rFonts w:ascii="Times New Roman" w:hAnsi="Times New Roman" w:cs="Times New Roman"/>
                <w:sz w:val="24"/>
                <w:szCs w:val="24"/>
              </w:rPr>
              <w:t>В</w:t>
            </w:r>
            <w:r w:rsidR="0091092F" w:rsidRPr="00265CC0">
              <w:rPr>
                <w:rFonts w:ascii="Times New Roman" w:hAnsi="Times New Roman" w:cs="Times New Roman"/>
                <w:sz w:val="24"/>
                <w:szCs w:val="24"/>
              </w:rPr>
              <w:t>.</w:t>
            </w:r>
          </w:p>
        </w:tc>
      </w:tr>
      <w:tr w:rsidR="00265CC0" w:rsidRPr="00265CC0" w:rsidTr="0055376D">
        <w:trPr>
          <w:trHeight w:val="1476"/>
        </w:trPr>
        <w:tc>
          <w:tcPr>
            <w:tcW w:w="10348" w:type="dxa"/>
          </w:tcPr>
          <w:p w:rsidR="0091092F" w:rsidRPr="00265CC0" w:rsidRDefault="00280E01" w:rsidP="006E66C6">
            <w:pPr>
              <w:tabs>
                <w:tab w:val="right" w:pos="361"/>
                <w:tab w:val="left" w:pos="4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.2. Линейката</w:t>
            </w:r>
            <w:r w:rsidR="0091092F" w:rsidRPr="00265CC0">
              <w:rPr>
                <w:rFonts w:ascii="Times New Roman" w:hAnsi="Times New Roman" w:cs="Times New Roman"/>
                <w:sz w:val="24"/>
                <w:szCs w:val="24"/>
              </w:rPr>
              <w:t xml:space="preserve"> да е оборудван</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265CC0">
              <w:rPr>
                <w:rFonts w:ascii="Times New Roman" w:hAnsi="Times New Roman" w:cs="Times New Roman"/>
                <w:sz w:val="24"/>
                <w:szCs w:val="24"/>
              </w:rPr>
              <w:t>санитарното отделение</w:t>
            </w:r>
            <w:r w:rsidR="0091092F" w:rsidRPr="00265CC0">
              <w:rPr>
                <w:rFonts w:ascii="Times New Roman" w:hAnsi="Times New Roman" w:cs="Times New Roman"/>
                <w:sz w:val="24"/>
                <w:szCs w:val="24"/>
              </w:rPr>
              <w:t>.</w:t>
            </w:r>
            <w:r w:rsidRPr="00265CC0">
              <w:rPr>
                <w:rFonts w:ascii="Times New Roman" w:hAnsi="Times New Roman" w:cs="Times New Roman"/>
                <w:sz w:val="24"/>
                <w:szCs w:val="24"/>
              </w:rPr>
              <w:t xml:space="preserve"> </w:t>
            </w:r>
            <w:r w:rsidR="0091092F" w:rsidRPr="00265CC0">
              <w:rPr>
                <w:rFonts w:ascii="Times New Roman" w:hAnsi="Times New Roman" w:cs="Times New Roman"/>
                <w:sz w:val="24"/>
                <w:szCs w:val="24"/>
              </w:rPr>
              <w:t xml:space="preserve">Вратите на </w:t>
            </w:r>
            <w:r w:rsidR="00AA7679" w:rsidRPr="00265CC0">
              <w:rPr>
                <w:rFonts w:ascii="Times New Roman" w:hAnsi="Times New Roman" w:cs="Times New Roman"/>
                <w:sz w:val="24"/>
                <w:szCs w:val="24"/>
              </w:rPr>
              <w:t xml:space="preserve">санитарното отделение </w:t>
            </w:r>
            <w:r w:rsidR="0091092F" w:rsidRPr="00265CC0">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265CC0">
              <w:rPr>
                <w:rFonts w:ascii="Times New Roman" w:hAnsi="Times New Roman" w:cs="Times New Roman"/>
                <w:sz w:val="24"/>
                <w:szCs w:val="24"/>
              </w:rPr>
              <w:t xml:space="preserve">Линейката </w:t>
            </w:r>
            <w:r w:rsidR="0091092F" w:rsidRPr="00265CC0">
              <w:rPr>
                <w:rFonts w:ascii="Times New Roman" w:hAnsi="Times New Roman" w:cs="Times New Roman"/>
                <w:sz w:val="24"/>
                <w:szCs w:val="24"/>
              </w:rPr>
              <w:t xml:space="preserve">да е </w:t>
            </w:r>
            <w:r w:rsidR="00AA7679" w:rsidRPr="00265CC0">
              <w:rPr>
                <w:rFonts w:ascii="Times New Roman" w:hAnsi="Times New Roman" w:cs="Times New Roman"/>
                <w:sz w:val="24"/>
                <w:szCs w:val="24"/>
              </w:rPr>
              <w:t>о</w:t>
            </w:r>
            <w:r w:rsidR="0091092F" w:rsidRPr="00265CC0">
              <w:rPr>
                <w:rFonts w:ascii="Times New Roman" w:hAnsi="Times New Roman" w:cs="Times New Roman"/>
                <w:sz w:val="24"/>
                <w:szCs w:val="24"/>
              </w:rPr>
              <w:t>комплектован</w:t>
            </w:r>
            <w:r w:rsidR="00AA7679"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с</w:t>
            </w:r>
            <w:r w:rsidR="009103F5" w:rsidRPr="00265CC0">
              <w:rPr>
                <w:rFonts w:ascii="Times New Roman" w:hAnsi="Times New Roman" w:cs="Times New Roman"/>
                <w:sz w:val="24"/>
                <w:szCs w:val="24"/>
              </w:rPr>
              <w:t xml:space="preserve"> минимум </w:t>
            </w:r>
            <w:r w:rsidR="00AA7679" w:rsidRPr="00265CC0">
              <w:rPr>
                <w:rFonts w:ascii="Times New Roman" w:hAnsi="Times New Roman" w:cs="Times New Roman"/>
                <w:sz w:val="24"/>
                <w:szCs w:val="24"/>
              </w:rPr>
              <w:t>два</w:t>
            </w:r>
            <w:r w:rsidR="0091092F" w:rsidRPr="00265CC0">
              <w:rPr>
                <w:rFonts w:ascii="Times New Roman" w:hAnsi="Times New Roman" w:cs="Times New Roman"/>
                <w:sz w:val="24"/>
                <w:szCs w:val="24"/>
              </w:rPr>
              <w:t xml:space="preserve"> оригинални ключа</w:t>
            </w:r>
          </w:p>
        </w:tc>
      </w:tr>
      <w:tr w:rsidR="00265CC0" w:rsidRPr="00265CC0" w:rsidTr="0055376D">
        <w:tc>
          <w:tcPr>
            <w:tcW w:w="10348" w:type="dxa"/>
          </w:tcPr>
          <w:p w:rsidR="0091092F" w:rsidRPr="00265CC0" w:rsidRDefault="00AA7679" w:rsidP="006E66C6">
            <w:pPr>
              <w:tabs>
                <w:tab w:val="right" w:pos="319"/>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.3. С</w:t>
            </w:r>
            <w:r w:rsidR="0091092F" w:rsidRPr="00265CC0">
              <w:rPr>
                <w:rFonts w:ascii="Times New Roman" w:hAnsi="Times New Roman" w:cs="Times New Roman"/>
                <w:sz w:val="24"/>
                <w:szCs w:val="24"/>
              </w:rPr>
              <w:t>анитарн</w:t>
            </w:r>
            <w:r w:rsidRPr="00265CC0">
              <w:rPr>
                <w:rFonts w:ascii="Times New Roman" w:hAnsi="Times New Roman" w:cs="Times New Roman"/>
                <w:sz w:val="24"/>
                <w:szCs w:val="24"/>
              </w:rPr>
              <w:t>ото</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отделение</w:t>
            </w:r>
            <w:r w:rsidR="0091092F" w:rsidRPr="00265CC0">
              <w:rPr>
                <w:rFonts w:ascii="Times New Roman" w:hAnsi="Times New Roman" w:cs="Times New Roman"/>
                <w:sz w:val="24"/>
                <w:szCs w:val="24"/>
              </w:rPr>
              <w:t xml:space="preserve"> да е оборудван</w:t>
            </w:r>
            <w:r w:rsidRPr="00265CC0">
              <w:rPr>
                <w:rFonts w:ascii="Times New Roman" w:hAnsi="Times New Roman" w:cs="Times New Roman"/>
                <w:sz w:val="24"/>
                <w:szCs w:val="24"/>
              </w:rPr>
              <w:t>о с</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одобрен тип седалки</w:t>
            </w:r>
            <w:r w:rsidR="0091092F" w:rsidRPr="00265CC0">
              <w:rPr>
                <w:rFonts w:ascii="Times New Roman" w:hAnsi="Times New Roman" w:cs="Times New Roman"/>
                <w:sz w:val="24"/>
                <w:szCs w:val="24"/>
              </w:rPr>
              <w:t xml:space="preserve"> </w:t>
            </w:r>
            <w:r w:rsidRPr="00265CC0">
              <w:rPr>
                <w:rFonts w:ascii="Times New Roman" w:hAnsi="Times New Roman" w:cs="Times New Roman"/>
                <w:sz w:val="24"/>
                <w:szCs w:val="24"/>
              </w:rPr>
              <w:t>и</w:t>
            </w:r>
            <w:r w:rsidR="0091092F" w:rsidRPr="00265CC0">
              <w:rPr>
                <w:rFonts w:ascii="Times New Roman" w:hAnsi="Times New Roman" w:cs="Times New Roman"/>
                <w:sz w:val="24"/>
                <w:szCs w:val="24"/>
              </w:rPr>
              <w:t xml:space="preserve"> колани поне за двама души</w:t>
            </w:r>
            <w:r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A83CFD"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w:t>
            </w:r>
            <w:r w:rsidR="00AA7679" w:rsidRPr="00265CC0">
              <w:rPr>
                <w:rFonts w:ascii="Times New Roman" w:hAnsi="Times New Roman" w:cs="Times New Roman"/>
                <w:sz w:val="24"/>
                <w:szCs w:val="24"/>
              </w:rPr>
              <w:t xml:space="preserve">4. </w:t>
            </w:r>
            <w:r w:rsidR="0091092F" w:rsidRPr="00265CC0">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BD680A"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.5. </w:t>
            </w:r>
            <w:r w:rsidR="0091092F" w:rsidRPr="00265CC0">
              <w:rPr>
                <w:rFonts w:ascii="Times New Roman" w:hAnsi="Times New Roman" w:cs="Times New Roman"/>
                <w:sz w:val="24"/>
                <w:szCs w:val="24"/>
              </w:rPr>
              <w:t>Санитарн</w:t>
            </w:r>
            <w:r w:rsidRPr="00265CC0">
              <w:rPr>
                <w:rFonts w:ascii="Times New Roman" w:hAnsi="Times New Roman" w:cs="Times New Roman"/>
                <w:sz w:val="24"/>
                <w:szCs w:val="24"/>
              </w:rPr>
              <w:t>ото отделение</w:t>
            </w:r>
            <w:r w:rsidR="0091092F" w:rsidRPr="00265CC0">
              <w:rPr>
                <w:rFonts w:ascii="Times New Roman" w:hAnsi="Times New Roman" w:cs="Times New Roman"/>
                <w:sz w:val="24"/>
                <w:szCs w:val="24"/>
              </w:rPr>
              <w:t xml:space="preserve"> да е тапициран</w:t>
            </w:r>
            <w:r w:rsidRPr="00265CC0">
              <w:rPr>
                <w:rFonts w:ascii="Times New Roman" w:hAnsi="Times New Roman" w:cs="Times New Roman"/>
                <w:sz w:val="24"/>
                <w:szCs w:val="24"/>
              </w:rPr>
              <w:t>о</w:t>
            </w:r>
            <w:r w:rsidR="0091092F" w:rsidRPr="00265CC0">
              <w:rPr>
                <w:rFonts w:ascii="Times New Roman" w:hAnsi="Times New Roman" w:cs="Times New Roman"/>
                <w:sz w:val="24"/>
                <w:szCs w:val="24"/>
              </w:rPr>
              <w:t xml:space="preserve"> с матери</w:t>
            </w:r>
            <w:r w:rsidRPr="00265CC0">
              <w:rPr>
                <w:rFonts w:ascii="Times New Roman" w:hAnsi="Times New Roman" w:cs="Times New Roman"/>
                <w:sz w:val="24"/>
                <w:szCs w:val="24"/>
              </w:rPr>
              <w:t>ал</w:t>
            </w:r>
            <w:r w:rsidR="0091092F" w:rsidRPr="00265CC0">
              <w:rPr>
                <w:rFonts w:ascii="Times New Roman" w:hAnsi="Times New Roman" w:cs="Times New Roman"/>
                <w:sz w:val="24"/>
                <w:szCs w:val="24"/>
              </w:rPr>
              <w:t>, ко</w:t>
            </w:r>
            <w:r w:rsidRPr="00265CC0">
              <w:rPr>
                <w:rFonts w:ascii="Times New Roman" w:hAnsi="Times New Roman" w:cs="Times New Roman"/>
                <w:sz w:val="24"/>
                <w:szCs w:val="24"/>
              </w:rPr>
              <w:t>й</w:t>
            </w:r>
            <w:r w:rsidR="0091092F" w:rsidRPr="00265CC0">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265CC0" w:rsidRPr="00265CC0" w:rsidTr="0055376D">
        <w:tc>
          <w:tcPr>
            <w:tcW w:w="10348" w:type="dxa"/>
          </w:tcPr>
          <w:p w:rsidR="0091092F" w:rsidRPr="00265CC0" w:rsidRDefault="00BD680A"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.6. </w:t>
            </w:r>
            <w:r w:rsidR="0091092F" w:rsidRPr="00265CC0">
              <w:rPr>
                <w:rFonts w:ascii="Times New Roman" w:hAnsi="Times New Roman" w:cs="Times New Roman"/>
                <w:sz w:val="24"/>
                <w:szCs w:val="24"/>
              </w:rPr>
              <w:t xml:space="preserve">Съгласно ISO 3795 </w:t>
            </w:r>
            <w:r w:rsidR="00FD1EF5" w:rsidRPr="00265CC0">
              <w:rPr>
                <w:rFonts w:ascii="Times New Roman" w:hAnsi="Times New Roman" w:cs="Times New Roman"/>
                <w:sz w:val="24"/>
                <w:szCs w:val="24"/>
              </w:rPr>
              <w:t xml:space="preserve">(или еквивалент) </w:t>
            </w:r>
            <w:r w:rsidR="0091092F" w:rsidRPr="00265CC0">
              <w:rPr>
                <w:rFonts w:ascii="Times New Roman" w:hAnsi="Times New Roman" w:cs="Times New Roman"/>
                <w:sz w:val="24"/>
                <w:szCs w:val="24"/>
              </w:rPr>
              <w:t>степента на горене на всички материали от интериора при тестване да е по-малка от 100</w:t>
            </w:r>
            <w:r w:rsidRPr="00265CC0">
              <w:rPr>
                <w:rFonts w:ascii="Times New Roman" w:hAnsi="Times New Roman" w:cs="Times New Roman"/>
                <w:sz w:val="24"/>
                <w:szCs w:val="24"/>
              </w:rPr>
              <w:t xml:space="preserve"> mm/min</w:t>
            </w:r>
            <w:r w:rsidR="0091092F"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D51AA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.7. </w:t>
            </w:r>
            <w:r w:rsidR="0091092F" w:rsidRPr="00265CC0">
              <w:rPr>
                <w:rFonts w:ascii="Times New Roman" w:hAnsi="Times New Roman" w:cs="Times New Roman"/>
                <w:sz w:val="24"/>
                <w:szCs w:val="24"/>
              </w:rPr>
              <w:t xml:space="preserve">Всички </w:t>
            </w:r>
            <w:r w:rsidR="001C07C9" w:rsidRPr="00265CC0">
              <w:rPr>
                <w:rFonts w:ascii="Times New Roman" w:hAnsi="Times New Roman" w:cs="Times New Roman"/>
                <w:sz w:val="24"/>
                <w:szCs w:val="24"/>
              </w:rPr>
              <w:t>съоръжения</w:t>
            </w:r>
            <w:r w:rsidR="0091092F" w:rsidRPr="00265CC0">
              <w:rPr>
                <w:rFonts w:ascii="Times New Roman" w:hAnsi="Times New Roman" w:cs="Times New Roman"/>
                <w:sz w:val="24"/>
                <w:szCs w:val="24"/>
              </w:rPr>
              <w:t xml:space="preserve"> в </w:t>
            </w:r>
            <w:r w:rsidRPr="00265CC0">
              <w:rPr>
                <w:rFonts w:ascii="Times New Roman" w:hAnsi="Times New Roman" w:cs="Times New Roman"/>
                <w:sz w:val="24"/>
                <w:szCs w:val="24"/>
              </w:rPr>
              <w:t xml:space="preserve">санитарното отделение, </w:t>
            </w:r>
            <w:r w:rsidR="001C07C9" w:rsidRPr="00265CC0">
              <w:rPr>
                <w:rFonts w:ascii="Times New Roman" w:hAnsi="Times New Roman" w:cs="Times New Roman"/>
                <w:sz w:val="24"/>
                <w:szCs w:val="24"/>
              </w:rPr>
              <w:t>които се намират на височина над</w:t>
            </w:r>
            <w:r w:rsidR="0091092F" w:rsidRPr="00265CC0">
              <w:rPr>
                <w:rFonts w:ascii="Times New Roman" w:hAnsi="Times New Roman" w:cs="Times New Roman"/>
                <w:sz w:val="24"/>
                <w:szCs w:val="24"/>
              </w:rPr>
              <w:t xml:space="preserve"> 700 </w:t>
            </w:r>
            <w:r w:rsidRPr="00265CC0">
              <w:rPr>
                <w:rFonts w:ascii="Times New Roman" w:hAnsi="Times New Roman" w:cs="Times New Roman"/>
                <w:lang w:val="en-US"/>
              </w:rPr>
              <w:t>mm</w:t>
            </w:r>
            <w:r w:rsidR="0091092F" w:rsidRPr="00265CC0">
              <w:rPr>
                <w:rFonts w:ascii="Times New Roman" w:hAnsi="Times New Roman" w:cs="Times New Roman"/>
                <w:sz w:val="24"/>
                <w:szCs w:val="24"/>
              </w:rPr>
              <w:t xml:space="preserve"> </w:t>
            </w:r>
            <w:r w:rsidR="001C07C9" w:rsidRPr="00265CC0">
              <w:rPr>
                <w:rFonts w:ascii="Times New Roman" w:hAnsi="Times New Roman" w:cs="Times New Roman"/>
                <w:sz w:val="24"/>
                <w:szCs w:val="24"/>
              </w:rPr>
              <w:t xml:space="preserve">трябва да са със </w:t>
            </w:r>
            <w:r w:rsidR="0091092F" w:rsidRPr="00265CC0">
              <w:rPr>
                <w:rFonts w:ascii="Times New Roman" w:hAnsi="Times New Roman" w:cs="Times New Roman"/>
                <w:sz w:val="24"/>
                <w:szCs w:val="24"/>
              </w:rPr>
              <w:t xml:space="preserve">заоблени краища. </w:t>
            </w:r>
          </w:p>
        </w:tc>
      </w:tr>
      <w:tr w:rsidR="00265CC0" w:rsidRPr="00265CC0" w:rsidTr="0055376D">
        <w:tc>
          <w:tcPr>
            <w:tcW w:w="10348" w:type="dxa"/>
          </w:tcPr>
          <w:p w:rsidR="0091092F" w:rsidRPr="00265CC0" w:rsidRDefault="000150C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.8. </w:t>
            </w:r>
            <w:r w:rsidR="0091092F" w:rsidRPr="00265CC0">
              <w:rPr>
                <w:rFonts w:ascii="Times New Roman" w:hAnsi="Times New Roman" w:cs="Times New Roman"/>
                <w:sz w:val="24"/>
                <w:szCs w:val="24"/>
              </w:rPr>
              <w:t>При нормална употреба, радиусът на извивката на външни ръбове</w:t>
            </w:r>
            <w:r w:rsidRPr="00265CC0">
              <w:rPr>
                <w:rFonts w:ascii="Times New Roman" w:hAnsi="Times New Roman" w:cs="Times New Roman"/>
                <w:sz w:val="24"/>
                <w:szCs w:val="24"/>
              </w:rPr>
              <w:t xml:space="preserve"> на всички съоръжения</w:t>
            </w:r>
            <w:r w:rsidR="0091092F" w:rsidRPr="00265CC0">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265CC0">
              <w:rPr>
                <w:rFonts w:ascii="Times New Roman" w:hAnsi="Times New Roman" w:cs="Times New Roman"/>
                <w:sz w:val="24"/>
                <w:szCs w:val="24"/>
              </w:rPr>
              <w:t>mm</w:t>
            </w:r>
            <w:r w:rsidR="0091092F" w:rsidRPr="00265CC0">
              <w:rPr>
                <w:rFonts w:ascii="Times New Roman" w:hAnsi="Times New Roman" w:cs="Times New Roman"/>
                <w:sz w:val="24"/>
                <w:szCs w:val="24"/>
              </w:rPr>
              <w:t xml:space="preserve">, освен ако изпъкването е по-малко от 3,2 </w:t>
            </w:r>
            <w:r w:rsidRPr="00265CC0">
              <w:rPr>
                <w:rFonts w:ascii="Times New Roman" w:hAnsi="Times New Roman" w:cs="Times New Roman"/>
                <w:sz w:val="24"/>
                <w:szCs w:val="24"/>
              </w:rPr>
              <w:t>mm</w:t>
            </w:r>
            <w:r w:rsidR="0091092F" w:rsidRPr="00265CC0">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265CC0" w:rsidRPr="00265CC0" w:rsidTr="0055376D">
        <w:tc>
          <w:tcPr>
            <w:tcW w:w="10348" w:type="dxa"/>
          </w:tcPr>
          <w:p w:rsidR="00A74EA7" w:rsidRPr="00265CC0" w:rsidRDefault="00A74EA7" w:rsidP="00A74EA7">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 xml:space="preserve">Забележка: </w:t>
            </w:r>
            <w:r w:rsidRPr="00265CC0">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265CC0" w:rsidRPr="00265CC0" w:rsidTr="0055376D">
        <w:tc>
          <w:tcPr>
            <w:tcW w:w="10348" w:type="dxa"/>
          </w:tcPr>
          <w:p w:rsidR="0091092F" w:rsidRPr="00265CC0" w:rsidRDefault="000150C8"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.9. </w:t>
            </w:r>
            <w:r w:rsidR="0091092F" w:rsidRPr="00265CC0">
              <w:rPr>
                <w:rFonts w:ascii="Times New Roman" w:hAnsi="Times New Roman" w:cs="Times New Roman"/>
                <w:sz w:val="24"/>
                <w:szCs w:val="24"/>
              </w:rPr>
              <w:t xml:space="preserve">Ръбовете на </w:t>
            </w:r>
            <w:r w:rsidRPr="00265CC0">
              <w:rPr>
                <w:rFonts w:ascii="Times New Roman" w:hAnsi="Times New Roman" w:cs="Times New Roman"/>
                <w:sz w:val="24"/>
                <w:szCs w:val="24"/>
              </w:rPr>
              <w:t>тавана, вътрешните странични стени и вратите на санитарното отделение</w:t>
            </w:r>
            <w:r w:rsidR="0091092F" w:rsidRPr="00265CC0">
              <w:rPr>
                <w:rFonts w:ascii="Times New Roman" w:hAnsi="Times New Roman" w:cs="Times New Roman"/>
                <w:sz w:val="24"/>
                <w:szCs w:val="24"/>
              </w:rPr>
              <w:t xml:space="preserve"> да са </w:t>
            </w:r>
            <w:r w:rsidRPr="00265CC0">
              <w:rPr>
                <w:rFonts w:ascii="Times New Roman" w:hAnsi="Times New Roman" w:cs="Times New Roman"/>
                <w:sz w:val="24"/>
                <w:szCs w:val="24"/>
              </w:rPr>
              <w:t>конструирани и/или уплътнени</w:t>
            </w:r>
            <w:r w:rsidR="0091092F" w:rsidRPr="00265CC0">
              <w:rPr>
                <w:rFonts w:ascii="Times New Roman" w:hAnsi="Times New Roman" w:cs="Times New Roman"/>
                <w:sz w:val="24"/>
                <w:szCs w:val="24"/>
              </w:rPr>
              <w:t xml:space="preserve"> по начин, който не позволява инфилтриране на течности. </w:t>
            </w:r>
          </w:p>
        </w:tc>
      </w:tr>
      <w:tr w:rsidR="00265CC0" w:rsidRPr="00265CC0" w:rsidTr="0055376D">
        <w:tc>
          <w:tcPr>
            <w:tcW w:w="10348" w:type="dxa"/>
          </w:tcPr>
          <w:p w:rsidR="0091092F" w:rsidRPr="00265CC0" w:rsidRDefault="0003306C"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.10. </w:t>
            </w:r>
            <w:r w:rsidR="00A74EA7" w:rsidRPr="00265CC0">
              <w:rPr>
                <w:rFonts w:ascii="Times New Roman" w:hAnsi="Times New Roman" w:cs="Times New Roman"/>
                <w:sz w:val="24"/>
                <w:szCs w:val="24"/>
              </w:rPr>
              <w:t>Подовото покритие да осигурява добро сцепление за обслужващия</w:t>
            </w:r>
            <w:r w:rsidR="00A74EA7" w:rsidRPr="00265CC0">
              <w:rPr>
                <w:rFonts w:ascii="Times New Roman" w:hAnsi="Times New Roman" w:cs="Times New Roman"/>
                <w:b/>
                <w:sz w:val="24"/>
                <w:szCs w:val="24"/>
              </w:rPr>
              <w:t>,</w:t>
            </w:r>
            <w:r w:rsidR="00A74EA7" w:rsidRPr="00265CC0">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r>
      <w:tr w:rsidR="00265CC0" w:rsidRPr="00265CC0" w:rsidTr="0055376D">
        <w:tc>
          <w:tcPr>
            <w:tcW w:w="10348" w:type="dxa"/>
          </w:tcPr>
          <w:p w:rsidR="0091092F" w:rsidRPr="00265CC0" w:rsidRDefault="00150CF7"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.11. </w:t>
            </w:r>
            <w:r w:rsidR="00E01C64" w:rsidRPr="00265CC0">
              <w:rPr>
                <w:rFonts w:ascii="Times New Roman" w:hAnsi="Times New Roman" w:cs="Times New Roman"/>
                <w:sz w:val="24"/>
                <w:szCs w:val="24"/>
              </w:rPr>
              <w:t xml:space="preserve">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00E01C64" w:rsidRPr="00265CC0">
              <w:rPr>
                <w:rFonts w:ascii="Times New Roman" w:hAnsi="Times New Roman" w:cs="Times New Roman"/>
                <w:b/>
                <w:sz w:val="24"/>
                <w:szCs w:val="24"/>
              </w:rPr>
              <w:t>~</w:t>
            </w:r>
            <w:r w:rsidR="00E01C64" w:rsidRPr="00265CC0">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.12. </w:t>
            </w:r>
            <w:r w:rsidR="00E01C64" w:rsidRPr="00265CC0">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5E284B" w:rsidRPr="00265CC0">
              <w:rPr>
                <w:rFonts w:ascii="Times New Roman" w:hAnsi="Times New Roman" w:cs="Times New Roman"/>
                <w:sz w:val="24"/>
                <w:szCs w:val="24"/>
              </w:rPr>
              <w:t>та</w:t>
            </w:r>
            <w:r w:rsidR="00E01C64" w:rsidRPr="00265CC0">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.13. </w:t>
            </w:r>
            <w:r w:rsidR="004B4ABF" w:rsidRPr="00265CC0">
              <w:rPr>
                <w:rFonts w:ascii="Times New Roman" w:hAnsi="Times New Roman" w:cs="Times New Roman"/>
                <w:sz w:val="24"/>
                <w:szCs w:val="24"/>
              </w:rPr>
              <w:t xml:space="preserve">Шкафчета и чекмеджетата да са защитени от самоотваряне, да имат подходящи заключалки </w:t>
            </w:r>
            <w:r w:rsidR="004B4ABF" w:rsidRPr="00265CC0">
              <w:rPr>
                <w:rFonts w:ascii="Times New Roman" w:hAnsi="Times New Roman" w:cs="Times New Roman"/>
                <w:sz w:val="24"/>
                <w:szCs w:val="24"/>
              </w:rPr>
              <w:lastRenderedPageBreak/>
              <w:t>на вратите, които се отварят нагоре така че да могат да се застопоряват в отворено положение. Шкафчето с медикаменти да се заключва автоматично.</w:t>
            </w:r>
          </w:p>
        </w:tc>
      </w:tr>
      <w:tr w:rsidR="00265CC0" w:rsidRPr="00265CC0" w:rsidTr="0055376D">
        <w:tc>
          <w:tcPr>
            <w:tcW w:w="10348" w:type="dxa"/>
          </w:tcPr>
          <w:p w:rsidR="0091092F" w:rsidRPr="00265CC0" w:rsidRDefault="0087264F"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lastRenderedPageBreak/>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.14. </w:t>
            </w:r>
            <w:r w:rsidR="0091092F" w:rsidRPr="00265CC0">
              <w:rPr>
                <w:rFonts w:ascii="Times New Roman" w:hAnsi="Times New Roman" w:cs="Times New Roman"/>
                <w:sz w:val="24"/>
                <w:szCs w:val="24"/>
              </w:rPr>
              <w:t xml:space="preserve">В </w:t>
            </w:r>
            <w:r w:rsidRPr="00265CC0">
              <w:rPr>
                <w:rFonts w:ascii="Times New Roman" w:hAnsi="Times New Roman" w:cs="Times New Roman"/>
                <w:sz w:val="24"/>
                <w:szCs w:val="24"/>
              </w:rPr>
              <w:t xml:space="preserve">санитарното отделение </w:t>
            </w:r>
            <w:r w:rsidR="0091092F" w:rsidRPr="00265CC0">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265CC0" w:rsidRPr="00265CC0" w:rsidTr="0055376D">
        <w:tc>
          <w:tcPr>
            <w:tcW w:w="10348" w:type="dxa"/>
          </w:tcPr>
          <w:p w:rsidR="0091092F" w:rsidRPr="00265CC0" w:rsidRDefault="0087264F" w:rsidP="00A83CFD">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6</w:t>
            </w:r>
            <w:r w:rsidRPr="00265CC0">
              <w:rPr>
                <w:rFonts w:ascii="Times New Roman" w:hAnsi="Times New Roman" w:cs="Times New Roman"/>
                <w:sz w:val="24"/>
                <w:szCs w:val="24"/>
              </w:rPr>
              <w:t xml:space="preserve">.15. </w:t>
            </w:r>
            <w:r w:rsidR="004B4ABF" w:rsidRPr="00265CC0">
              <w:rPr>
                <w:rFonts w:ascii="Times New Roman" w:hAnsi="Times New Roman" w:cs="Times New Roman"/>
                <w:sz w:val="24"/>
                <w:szCs w:val="24"/>
              </w:rPr>
              <w:t>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r>
      <w:tr w:rsidR="00265CC0" w:rsidRPr="00265CC0" w:rsidTr="0055376D">
        <w:trPr>
          <w:trHeight w:val="278"/>
        </w:trPr>
        <w:tc>
          <w:tcPr>
            <w:tcW w:w="10348" w:type="dxa"/>
          </w:tcPr>
          <w:p w:rsidR="0091092F" w:rsidRPr="00265CC0" w:rsidRDefault="0087264F"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7</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Естествено осветление:</w:t>
            </w:r>
          </w:p>
        </w:tc>
      </w:tr>
      <w:tr w:rsidR="00265CC0" w:rsidRPr="00265CC0" w:rsidTr="0055376D">
        <w:trPr>
          <w:trHeight w:val="278"/>
        </w:trPr>
        <w:tc>
          <w:tcPr>
            <w:tcW w:w="10348" w:type="dxa"/>
          </w:tcPr>
          <w:p w:rsidR="0091092F" w:rsidRPr="00265CC0" w:rsidRDefault="00A83CFD"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7</w:t>
            </w:r>
            <w:r w:rsidRPr="00265CC0">
              <w:rPr>
                <w:rFonts w:ascii="Times New Roman" w:hAnsi="Times New Roman" w:cs="Times New Roman"/>
                <w:sz w:val="24"/>
                <w:szCs w:val="24"/>
              </w:rPr>
              <w:t>.</w:t>
            </w:r>
            <w:r w:rsidR="0087264F"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0087264F" w:rsidRPr="00265CC0">
              <w:rPr>
                <w:rFonts w:ascii="Times New Roman" w:hAnsi="Times New Roman" w:cs="Times New Roman"/>
                <w:sz w:val="24"/>
                <w:szCs w:val="24"/>
              </w:rPr>
              <w:t xml:space="preserve"> им</w:t>
            </w:r>
            <w:r w:rsidR="0091092F" w:rsidRPr="00265CC0">
              <w:rPr>
                <w:rFonts w:ascii="Times New Roman" w:hAnsi="Times New Roman" w:cs="Times New Roman"/>
                <w:sz w:val="24"/>
                <w:szCs w:val="24"/>
              </w:rPr>
              <w:t>.</w:t>
            </w:r>
          </w:p>
        </w:tc>
      </w:tr>
      <w:tr w:rsidR="00265CC0" w:rsidRPr="00265CC0" w:rsidTr="0055376D">
        <w:trPr>
          <w:trHeight w:val="276"/>
        </w:trPr>
        <w:tc>
          <w:tcPr>
            <w:tcW w:w="10348" w:type="dxa"/>
          </w:tcPr>
          <w:p w:rsidR="0091092F" w:rsidRPr="00265CC0" w:rsidRDefault="00001CCE"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8</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Изкуствено осветление:</w:t>
            </w:r>
          </w:p>
        </w:tc>
      </w:tr>
      <w:tr w:rsidR="00265CC0" w:rsidRPr="00265CC0" w:rsidTr="0055376D">
        <w:trPr>
          <w:trHeight w:val="579"/>
        </w:trPr>
        <w:tc>
          <w:tcPr>
            <w:tcW w:w="10348" w:type="dxa"/>
          </w:tcPr>
          <w:p w:rsidR="0091092F" w:rsidRPr="00265CC0" w:rsidRDefault="00001CCE"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.1. </w:t>
            </w:r>
            <w:r w:rsidR="00F2461A" w:rsidRPr="00265CC0">
              <w:rPr>
                <w:rFonts w:ascii="Times New Roman" w:hAnsi="Times New Roman" w:cs="Times New Roman"/>
                <w:sz w:val="24"/>
                <w:szCs w:val="24"/>
              </w:rPr>
              <w:t xml:space="preserve">Да осигурява достатъчна осветеност в санитарното отделение, съгласно т. 4.5.6 от стандарт </w:t>
            </w:r>
            <w:r w:rsidR="005C2CF8" w:rsidRPr="00265CC0">
              <w:rPr>
                <w:rFonts w:ascii="Times New Roman" w:hAnsi="Times New Roman" w:cs="Times New Roman"/>
                <w:sz w:val="24"/>
                <w:szCs w:val="24"/>
              </w:rPr>
              <w:t xml:space="preserve">БДС </w:t>
            </w:r>
            <w:r w:rsidR="00F2461A" w:rsidRPr="00265CC0">
              <w:rPr>
                <w:rFonts w:ascii="Times New Roman" w:hAnsi="Times New Roman" w:cs="Times New Roman"/>
                <w:sz w:val="24"/>
                <w:szCs w:val="24"/>
              </w:rPr>
              <w:t>EN 1789:2007+A2:2014 (или еквивалент) за линейка тип В.</w:t>
            </w:r>
          </w:p>
        </w:tc>
      </w:tr>
      <w:tr w:rsidR="00265CC0" w:rsidRPr="00265CC0" w:rsidTr="0055376D">
        <w:trPr>
          <w:trHeight w:val="564"/>
        </w:trPr>
        <w:tc>
          <w:tcPr>
            <w:tcW w:w="10348" w:type="dxa"/>
          </w:tcPr>
          <w:p w:rsidR="0091092F" w:rsidRPr="00265CC0" w:rsidRDefault="004C27CF"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.2. </w:t>
            </w:r>
            <w:r w:rsidR="00E568FB" w:rsidRPr="00265CC0">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556754" w:rsidRPr="00265CC0">
              <w:rPr>
                <w:rFonts w:ascii="Times New Roman" w:hAnsi="Times New Roman" w:cs="Times New Roman"/>
                <w:sz w:val="24"/>
                <w:szCs w:val="24"/>
              </w:rPr>
              <w:t>/ите</w:t>
            </w:r>
            <w:r w:rsidR="00E568FB" w:rsidRPr="00265CC0">
              <w:rPr>
                <w:rFonts w:ascii="Times New Roman" w:hAnsi="Times New Roman" w:cs="Times New Roman"/>
                <w:sz w:val="24"/>
                <w:szCs w:val="24"/>
              </w:rPr>
              <w:t xml:space="preserve"> или странична врати на санитарното отделение.</w:t>
            </w:r>
          </w:p>
        </w:tc>
      </w:tr>
      <w:tr w:rsidR="00265CC0" w:rsidRPr="00265CC0" w:rsidTr="0055376D">
        <w:trPr>
          <w:trHeight w:val="564"/>
        </w:trPr>
        <w:tc>
          <w:tcPr>
            <w:tcW w:w="10348" w:type="dxa"/>
          </w:tcPr>
          <w:p w:rsidR="0091092F" w:rsidRPr="00265CC0" w:rsidRDefault="004C27CF"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.3. </w:t>
            </w:r>
            <w:r w:rsidR="00E568FB" w:rsidRPr="00265CC0">
              <w:rPr>
                <w:rFonts w:ascii="Times New Roman" w:hAnsi="Times New Roman" w:cs="Times New Roman"/>
                <w:sz w:val="24"/>
                <w:szCs w:val="24"/>
              </w:rPr>
              <w:t>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r>
      <w:tr w:rsidR="00265CC0" w:rsidRPr="00265CC0" w:rsidTr="0055376D">
        <w:trPr>
          <w:trHeight w:val="564"/>
        </w:trPr>
        <w:tc>
          <w:tcPr>
            <w:tcW w:w="10348" w:type="dxa"/>
          </w:tcPr>
          <w:p w:rsidR="0091092F" w:rsidRPr="00265CC0" w:rsidRDefault="00FA7EA1" w:rsidP="006E66C6">
            <w:pPr>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8</w:t>
            </w:r>
            <w:r w:rsidRPr="00265CC0">
              <w:rPr>
                <w:rFonts w:ascii="Times New Roman" w:hAnsi="Times New Roman" w:cs="Times New Roman"/>
                <w:sz w:val="24"/>
                <w:szCs w:val="24"/>
              </w:rPr>
              <w:t xml:space="preserve">.4. </w:t>
            </w:r>
            <w:r w:rsidR="00E140AB" w:rsidRPr="00265CC0">
              <w:rPr>
                <w:rFonts w:ascii="Times New Roman" w:hAnsi="Times New Roman" w:cs="Times New Roman"/>
                <w:sz w:val="24"/>
                <w:szCs w:val="24"/>
              </w:rPr>
              <w:t xml:space="preserve">Над носилката да е монтирана лампа осигуряваща необходимата осветеност съгласно т. 4.5.6. от стандарт </w:t>
            </w:r>
            <w:r w:rsidR="005C2CF8" w:rsidRPr="00265CC0">
              <w:rPr>
                <w:rFonts w:ascii="Times New Roman" w:hAnsi="Times New Roman" w:cs="Times New Roman"/>
                <w:sz w:val="24"/>
                <w:szCs w:val="24"/>
              </w:rPr>
              <w:t xml:space="preserve">БДС </w:t>
            </w:r>
            <w:r w:rsidR="00E140AB" w:rsidRPr="00265CC0">
              <w:rPr>
                <w:rFonts w:ascii="Times New Roman" w:hAnsi="Times New Roman" w:cs="Times New Roman"/>
                <w:sz w:val="24"/>
                <w:szCs w:val="24"/>
              </w:rPr>
              <w:t>EN 1789:2007+A2:2014 (или еквивалент).</w:t>
            </w:r>
          </w:p>
        </w:tc>
      </w:tr>
      <w:tr w:rsidR="00265CC0" w:rsidRPr="00265CC0" w:rsidTr="0055376D">
        <w:trPr>
          <w:trHeight w:val="228"/>
        </w:trPr>
        <w:tc>
          <w:tcPr>
            <w:tcW w:w="10348" w:type="dxa"/>
          </w:tcPr>
          <w:p w:rsidR="0091092F" w:rsidRPr="00265CC0" w:rsidRDefault="00A67D15" w:rsidP="00A83CFD">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1</w:t>
            </w:r>
            <w:r w:rsidR="006E66C6" w:rsidRPr="00265CC0">
              <w:rPr>
                <w:rFonts w:ascii="Times New Roman" w:hAnsi="Times New Roman" w:cs="Times New Roman"/>
                <w:b/>
                <w:sz w:val="24"/>
                <w:szCs w:val="24"/>
              </w:rPr>
              <w:t>9.</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Отопление:</w:t>
            </w:r>
            <w:r w:rsidR="0091092F" w:rsidRPr="00265CC0">
              <w:rPr>
                <w:rFonts w:ascii="Times New Roman" w:hAnsi="Times New Roman" w:cs="Times New Roman"/>
                <w:sz w:val="24"/>
                <w:szCs w:val="24"/>
              </w:rPr>
              <w:t xml:space="preserve"> </w:t>
            </w:r>
          </w:p>
        </w:tc>
      </w:tr>
      <w:tr w:rsidR="00265CC0" w:rsidRPr="00265CC0" w:rsidTr="0055376D">
        <w:trPr>
          <w:trHeight w:val="228"/>
        </w:trPr>
        <w:tc>
          <w:tcPr>
            <w:tcW w:w="10348" w:type="dxa"/>
          </w:tcPr>
          <w:p w:rsidR="0091092F" w:rsidRPr="00265CC0" w:rsidRDefault="00A67D15"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.1. </w:t>
            </w:r>
            <w:r w:rsidR="005973CE" w:rsidRPr="00265CC0">
              <w:rPr>
                <w:rFonts w:ascii="Times New Roman" w:hAnsi="Times New Roman" w:cs="Times New Roman"/>
                <w:sz w:val="24"/>
                <w:szCs w:val="24"/>
              </w:rPr>
              <w:t xml:space="preserve">Отоплителната система да отговаря на т. 4.5.5.1 от стандарт </w:t>
            </w:r>
            <w:r w:rsidR="005C2CF8" w:rsidRPr="00265CC0">
              <w:rPr>
                <w:rFonts w:ascii="Times New Roman" w:hAnsi="Times New Roman" w:cs="Times New Roman"/>
                <w:sz w:val="24"/>
                <w:szCs w:val="24"/>
              </w:rPr>
              <w:t xml:space="preserve">БДС </w:t>
            </w:r>
            <w:r w:rsidR="005973CE" w:rsidRPr="00265CC0">
              <w:rPr>
                <w:rFonts w:ascii="Times New Roman" w:hAnsi="Times New Roman" w:cs="Times New Roman"/>
                <w:sz w:val="24"/>
                <w:szCs w:val="24"/>
              </w:rPr>
              <w:t xml:space="preserve">EN 1789:2007+A2:2014 за линейка тип </w:t>
            </w:r>
            <w:r w:rsidR="005973CE" w:rsidRPr="00265CC0">
              <w:rPr>
                <w:rFonts w:ascii="Times New Roman" w:hAnsi="Times New Roman" w:cs="Times New Roman"/>
                <w:bCs/>
                <w:sz w:val="24"/>
                <w:szCs w:val="24"/>
              </w:rPr>
              <w:t>В</w:t>
            </w:r>
            <w:r w:rsidR="005973CE" w:rsidRPr="00265CC0">
              <w:rPr>
                <w:rFonts w:ascii="Times New Roman" w:hAnsi="Times New Roman" w:cs="Times New Roman"/>
                <w:sz w:val="24"/>
                <w:szCs w:val="24"/>
              </w:rPr>
              <w:t>.</w:t>
            </w:r>
          </w:p>
        </w:tc>
      </w:tr>
      <w:tr w:rsidR="00265CC0" w:rsidRPr="00265CC0" w:rsidTr="0055376D">
        <w:trPr>
          <w:trHeight w:val="586"/>
        </w:trPr>
        <w:tc>
          <w:tcPr>
            <w:tcW w:w="10348" w:type="dxa"/>
          </w:tcPr>
          <w:p w:rsidR="0091092F" w:rsidRPr="00265CC0" w:rsidRDefault="00A67D15"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.2. </w:t>
            </w:r>
            <w:r w:rsidR="005125B3" w:rsidRPr="00265CC0">
              <w:rPr>
                <w:rFonts w:ascii="Times New Roman" w:hAnsi="Times New Roman" w:cs="Times New Roman"/>
                <w:sz w:val="24"/>
                <w:szCs w:val="24"/>
              </w:rPr>
              <w:t>Да се осигурява от климатроник/климати</w:t>
            </w:r>
            <w:r w:rsidR="00A13A7E" w:rsidRPr="00265CC0">
              <w:rPr>
                <w:rFonts w:ascii="Times New Roman" w:hAnsi="Times New Roman" w:cs="Times New Roman"/>
                <w:sz w:val="24"/>
                <w:szCs w:val="24"/>
              </w:rPr>
              <w:t>к</w:t>
            </w:r>
            <w:r w:rsidR="005125B3" w:rsidRPr="00265CC0">
              <w:rPr>
                <w:rFonts w:ascii="Times New Roman" w:hAnsi="Times New Roman" w:cs="Times New Roman"/>
                <w:sz w:val="24"/>
                <w:szCs w:val="24"/>
              </w:rPr>
              <w:t xml:space="preserve"> и автономен отоплителен източник за санитарното помещение.</w:t>
            </w:r>
          </w:p>
        </w:tc>
      </w:tr>
      <w:tr w:rsidR="00265CC0" w:rsidRPr="00265CC0" w:rsidTr="0055376D">
        <w:trPr>
          <w:trHeight w:val="552"/>
        </w:trPr>
        <w:tc>
          <w:tcPr>
            <w:tcW w:w="10348" w:type="dxa"/>
          </w:tcPr>
          <w:p w:rsidR="0091092F" w:rsidRPr="00265CC0" w:rsidRDefault="00A67D15"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6E66C6" w:rsidRPr="00265CC0">
              <w:rPr>
                <w:rFonts w:ascii="Times New Roman" w:hAnsi="Times New Roman" w:cs="Times New Roman"/>
                <w:sz w:val="24"/>
                <w:szCs w:val="24"/>
              </w:rPr>
              <w:t>9</w:t>
            </w:r>
            <w:r w:rsidRPr="00265CC0">
              <w:rPr>
                <w:rFonts w:ascii="Times New Roman" w:hAnsi="Times New Roman" w:cs="Times New Roman"/>
                <w:sz w:val="24"/>
                <w:szCs w:val="24"/>
              </w:rPr>
              <w:t xml:space="preserve">.3. </w:t>
            </w:r>
            <w:r w:rsidR="00DF5F30" w:rsidRPr="00265CC0">
              <w:rPr>
                <w:rFonts w:ascii="Times New Roman" w:hAnsi="Times New Roman" w:cs="Times New Roman"/>
                <w:sz w:val="24"/>
                <w:szCs w:val="24"/>
              </w:rPr>
              <w:t>Когато линейката не се движи и е включено захранване от електрическа мрежа ~220 V, отоплението да се осигурява от електрическа печка ~220 V с термостат (терморегулатор).</w:t>
            </w:r>
          </w:p>
        </w:tc>
      </w:tr>
      <w:tr w:rsidR="00265CC0" w:rsidRPr="00265CC0" w:rsidTr="0055376D">
        <w:trPr>
          <w:trHeight w:val="232"/>
        </w:trPr>
        <w:tc>
          <w:tcPr>
            <w:tcW w:w="10348" w:type="dxa"/>
          </w:tcPr>
          <w:p w:rsidR="0091092F" w:rsidRPr="00265CC0" w:rsidRDefault="00105A86" w:rsidP="00EA51F3">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1</w:t>
            </w:r>
            <w:r w:rsidR="00EA51F3">
              <w:rPr>
                <w:rFonts w:ascii="Times New Roman" w:hAnsi="Times New Roman" w:cs="Times New Roman"/>
                <w:sz w:val="24"/>
                <w:szCs w:val="24"/>
              </w:rPr>
              <w:t>9</w:t>
            </w:r>
            <w:r w:rsidRPr="00265CC0">
              <w:rPr>
                <w:rFonts w:ascii="Times New Roman" w:hAnsi="Times New Roman" w:cs="Times New Roman"/>
                <w:sz w:val="24"/>
                <w:szCs w:val="24"/>
              </w:rPr>
              <w:t xml:space="preserve">.4. </w:t>
            </w:r>
            <w:r w:rsidR="0091092F" w:rsidRPr="00265CC0">
              <w:rPr>
                <w:rFonts w:ascii="Times New Roman" w:hAnsi="Times New Roman" w:cs="Times New Roman"/>
                <w:sz w:val="24"/>
                <w:szCs w:val="24"/>
              </w:rPr>
              <w:t>Печк</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т</w:t>
            </w:r>
            <w:r w:rsidRPr="00265CC0">
              <w:rPr>
                <w:rFonts w:ascii="Times New Roman" w:hAnsi="Times New Roman" w:cs="Times New Roman"/>
                <w:sz w:val="24"/>
                <w:szCs w:val="24"/>
              </w:rPr>
              <w:t>а да е</w:t>
            </w:r>
            <w:r w:rsidR="0091092F" w:rsidRPr="00265CC0">
              <w:rPr>
                <w:rFonts w:ascii="Times New Roman" w:hAnsi="Times New Roman" w:cs="Times New Roman"/>
                <w:sz w:val="24"/>
                <w:szCs w:val="24"/>
              </w:rPr>
              <w:t xml:space="preserve"> инсталиран</w:t>
            </w:r>
            <w:r w:rsidRPr="00265CC0">
              <w:rPr>
                <w:rFonts w:ascii="Times New Roman" w:hAnsi="Times New Roman" w:cs="Times New Roman"/>
                <w:sz w:val="24"/>
                <w:szCs w:val="24"/>
              </w:rPr>
              <w:t>а</w:t>
            </w:r>
            <w:r w:rsidR="0091092F" w:rsidRPr="00265CC0">
              <w:rPr>
                <w:rFonts w:ascii="Times New Roman" w:hAnsi="Times New Roman" w:cs="Times New Roman"/>
                <w:sz w:val="24"/>
                <w:szCs w:val="24"/>
              </w:rPr>
              <w:t xml:space="preserve"> в </w:t>
            </w:r>
            <w:r w:rsidRPr="00265CC0">
              <w:rPr>
                <w:rFonts w:ascii="Times New Roman" w:hAnsi="Times New Roman" w:cs="Times New Roman"/>
                <w:sz w:val="24"/>
                <w:szCs w:val="24"/>
              </w:rPr>
              <w:t>санитарното отделение</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6E66C6" w:rsidP="00DF5F30">
            <w:pPr>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20</w:t>
            </w:r>
            <w:r w:rsidR="00623A97"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Охладителна</w:t>
            </w:r>
            <w:r w:rsidR="00DF5F30"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w:t>
            </w:r>
            <w:r w:rsidR="0091092F" w:rsidRPr="00265CC0">
              <w:rPr>
                <w:rFonts w:ascii="Times New Roman" w:hAnsi="Times New Roman" w:cs="Times New Roman"/>
                <w:sz w:val="24"/>
                <w:szCs w:val="24"/>
              </w:rPr>
              <w:t xml:space="preserve"> </w:t>
            </w:r>
            <w:r w:rsidR="00DF5F30" w:rsidRPr="00265CC0">
              <w:rPr>
                <w:rFonts w:ascii="Times New Roman" w:hAnsi="Times New Roman" w:cs="Times New Roman"/>
                <w:sz w:val="24"/>
                <w:szCs w:val="24"/>
              </w:rPr>
              <w:t xml:space="preserve">да съответства на т. 4.5.5.2 от </w:t>
            </w:r>
            <w:r w:rsidR="005C2CF8" w:rsidRPr="00265CC0">
              <w:rPr>
                <w:rFonts w:ascii="Times New Roman" w:hAnsi="Times New Roman" w:cs="Times New Roman"/>
                <w:sz w:val="24"/>
                <w:szCs w:val="24"/>
              </w:rPr>
              <w:t xml:space="preserve">БДС </w:t>
            </w:r>
            <w:r w:rsidR="00DF5F30" w:rsidRPr="00265CC0">
              <w:rPr>
                <w:rFonts w:ascii="Times New Roman" w:hAnsi="Times New Roman" w:cs="Times New Roman"/>
                <w:sz w:val="24"/>
                <w:szCs w:val="24"/>
              </w:rPr>
              <w:t>EN 1789:2007+A2:2014 или еквивалент.</w:t>
            </w:r>
          </w:p>
        </w:tc>
      </w:tr>
      <w:tr w:rsidR="00265CC0" w:rsidRPr="00265CC0" w:rsidTr="0055376D">
        <w:tc>
          <w:tcPr>
            <w:tcW w:w="10348" w:type="dxa"/>
          </w:tcPr>
          <w:p w:rsidR="0091092F" w:rsidRPr="00265CC0" w:rsidRDefault="007406E1" w:rsidP="006E66C6">
            <w:pPr>
              <w:tabs>
                <w:tab w:val="right" w:pos="0"/>
              </w:tabs>
              <w:spacing w:before="0" w:line="20" w:lineRule="atLeast"/>
              <w:rPr>
                <w:rFonts w:ascii="Times New Roman" w:hAnsi="Times New Roman" w:cs="Times New Roman"/>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1</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Вентилационна</w:t>
            </w:r>
            <w:r w:rsidR="00DF5F30" w:rsidRPr="00265CC0">
              <w:rPr>
                <w:rFonts w:ascii="Times New Roman" w:hAnsi="Times New Roman" w:cs="Times New Roman"/>
                <w:b/>
                <w:sz w:val="24"/>
                <w:szCs w:val="24"/>
              </w:rPr>
              <w:t>та</w:t>
            </w:r>
            <w:r w:rsidR="0091092F" w:rsidRPr="00265CC0">
              <w:rPr>
                <w:rFonts w:ascii="Times New Roman" w:hAnsi="Times New Roman" w:cs="Times New Roman"/>
                <w:b/>
                <w:sz w:val="24"/>
                <w:szCs w:val="24"/>
              </w:rPr>
              <w:t xml:space="preserve"> система</w:t>
            </w:r>
            <w:r w:rsidRPr="00265CC0">
              <w:rPr>
                <w:rFonts w:ascii="Times New Roman" w:hAnsi="Times New Roman" w:cs="Times New Roman"/>
                <w:sz w:val="24"/>
                <w:szCs w:val="24"/>
              </w:rPr>
              <w:t xml:space="preserve"> </w:t>
            </w:r>
            <w:r w:rsidR="00DF5F30" w:rsidRPr="00265CC0">
              <w:rPr>
                <w:rFonts w:ascii="Times New Roman" w:hAnsi="Times New Roman" w:cs="Times New Roman"/>
                <w:sz w:val="24"/>
                <w:szCs w:val="24"/>
              </w:rPr>
              <w:t xml:space="preserve">да съответства на т. 4.5.4.1 от </w:t>
            </w:r>
            <w:r w:rsidR="005C2CF8" w:rsidRPr="00265CC0">
              <w:rPr>
                <w:rFonts w:ascii="Times New Roman" w:hAnsi="Times New Roman" w:cs="Times New Roman"/>
                <w:sz w:val="24"/>
                <w:szCs w:val="24"/>
              </w:rPr>
              <w:t xml:space="preserve">БДС </w:t>
            </w:r>
            <w:r w:rsidR="00DF5F30" w:rsidRPr="00265CC0">
              <w:rPr>
                <w:rFonts w:ascii="Times New Roman" w:hAnsi="Times New Roman" w:cs="Times New Roman"/>
                <w:sz w:val="24"/>
                <w:szCs w:val="24"/>
              </w:rPr>
              <w:t>EN 1789:2007+A2:2014 или еквивалент.</w:t>
            </w:r>
            <w:r w:rsidR="0091092F" w:rsidRPr="00265CC0">
              <w:rPr>
                <w:rFonts w:ascii="Times New Roman" w:hAnsi="Times New Roman" w:cs="Times New Roman"/>
                <w:sz w:val="24"/>
                <w:szCs w:val="24"/>
              </w:rPr>
              <w:t xml:space="preserve"> </w:t>
            </w:r>
          </w:p>
        </w:tc>
      </w:tr>
      <w:tr w:rsidR="00265CC0" w:rsidRPr="00265CC0" w:rsidTr="0055376D">
        <w:tc>
          <w:tcPr>
            <w:tcW w:w="10348" w:type="dxa"/>
          </w:tcPr>
          <w:p w:rsidR="0091092F" w:rsidRPr="00265CC0" w:rsidRDefault="007406E1" w:rsidP="006E66C6">
            <w:pPr>
              <w:tabs>
                <w:tab w:val="right" w:pos="0"/>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 xml:space="preserve">.1. </w:t>
            </w:r>
            <w:r w:rsidR="00DF5F30" w:rsidRPr="00265CC0">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265CC0" w:rsidRPr="00265CC0" w:rsidTr="0055376D">
        <w:tc>
          <w:tcPr>
            <w:tcW w:w="10348" w:type="dxa"/>
          </w:tcPr>
          <w:p w:rsidR="0091092F" w:rsidRPr="00265CC0" w:rsidRDefault="00381812" w:rsidP="006E66C6">
            <w:pPr>
              <w:tabs>
                <w:tab w:val="right" w:pos="0"/>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Да бъде двупосочна (както нагнетателна, така и изсмукваща)</w:t>
            </w:r>
            <w:r w:rsidRPr="00265CC0">
              <w:rPr>
                <w:rFonts w:ascii="Times New Roman" w:hAnsi="Times New Roman" w:cs="Times New Roman"/>
                <w:sz w:val="24"/>
                <w:szCs w:val="24"/>
              </w:rPr>
              <w:t>.</w:t>
            </w:r>
          </w:p>
        </w:tc>
      </w:tr>
      <w:tr w:rsidR="00265CC0" w:rsidRPr="00265CC0" w:rsidTr="0055376D">
        <w:tc>
          <w:tcPr>
            <w:tcW w:w="10348" w:type="dxa"/>
          </w:tcPr>
          <w:p w:rsidR="0091092F" w:rsidRPr="00265CC0" w:rsidRDefault="00381812" w:rsidP="006E66C6">
            <w:pPr>
              <w:tabs>
                <w:tab w:val="right" w:pos="0"/>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1</w:t>
            </w:r>
            <w:r w:rsidRPr="00265CC0">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r>
      <w:tr w:rsidR="00265CC0" w:rsidRPr="00265CC0" w:rsidTr="0055376D">
        <w:trPr>
          <w:trHeight w:val="245"/>
        </w:trPr>
        <w:tc>
          <w:tcPr>
            <w:tcW w:w="10348" w:type="dxa"/>
          </w:tcPr>
          <w:p w:rsidR="0091092F" w:rsidRPr="00265CC0" w:rsidRDefault="00585265"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2</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Специална сигнализация:</w:t>
            </w:r>
          </w:p>
        </w:tc>
      </w:tr>
      <w:tr w:rsidR="00265CC0" w:rsidRPr="00265CC0" w:rsidTr="0055376D">
        <w:trPr>
          <w:trHeight w:val="113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.1. </w:t>
            </w:r>
            <w:r w:rsidR="00AC63C3" w:rsidRPr="00265CC0">
              <w:rPr>
                <w:rFonts w:ascii="Times New Roman" w:hAnsi="Times New Roman" w:cs="Times New Roman"/>
                <w:sz w:val="24"/>
                <w:szCs w:val="24"/>
              </w:rPr>
              <w:t>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r>
      <w:tr w:rsidR="00265CC0" w:rsidRPr="00265CC0" w:rsidTr="0055376D">
        <w:trPr>
          <w:trHeight w:val="55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.2. </w:t>
            </w:r>
            <w:r w:rsidR="0091092F" w:rsidRPr="00265CC0">
              <w:rPr>
                <w:rFonts w:ascii="Times New Roman" w:hAnsi="Times New Roman" w:cs="Times New Roman"/>
                <w:sz w:val="24"/>
                <w:szCs w:val="24"/>
              </w:rPr>
              <w:t xml:space="preserve">Две сини допълнителни светлини да са инсталирани отпред на бронята на колата и да излъчват импулсна /мигаща/ светлина. </w:t>
            </w:r>
          </w:p>
        </w:tc>
      </w:tr>
      <w:tr w:rsidR="00265CC0" w:rsidRPr="00265CC0" w:rsidTr="0055376D">
        <w:trPr>
          <w:trHeight w:val="554"/>
        </w:trPr>
        <w:tc>
          <w:tcPr>
            <w:tcW w:w="10348" w:type="dxa"/>
          </w:tcPr>
          <w:p w:rsidR="0091092F" w:rsidRPr="00265CC0" w:rsidRDefault="00BD444E"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2</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 xml:space="preserve">Две мигащи оранжеви светлини, монтирани в задната част на покрива на </w:t>
            </w:r>
            <w:r w:rsidRPr="00265CC0">
              <w:rPr>
                <w:rFonts w:ascii="Times New Roman" w:hAnsi="Times New Roman" w:cs="Times New Roman"/>
                <w:sz w:val="24"/>
                <w:szCs w:val="24"/>
              </w:rPr>
              <w:t>линейката</w:t>
            </w:r>
            <w:r w:rsidR="0091092F" w:rsidRPr="00265CC0">
              <w:rPr>
                <w:rFonts w:ascii="Times New Roman" w:hAnsi="Times New Roman" w:cs="Times New Roman"/>
                <w:sz w:val="24"/>
                <w:szCs w:val="24"/>
              </w:rPr>
              <w:t>, с функция независима от тази на сините светлини, които да се включват при отваряне на задните врати.</w:t>
            </w:r>
          </w:p>
        </w:tc>
      </w:tr>
      <w:tr w:rsidR="00265CC0" w:rsidRPr="00265CC0" w:rsidTr="0055376D">
        <w:trPr>
          <w:trHeight w:val="283"/>
        </w:trPr>
        <w:tc>
          <w:tcPr>
            <w:tcW w:w="10348" w:type="dxa"/>
          </w:tcPr>
          <w:p w:rsidR="0091092F" w:rsidRPr="00265CC0" w:rsidRDefault="00F050ED" w:rsidP="006E66C6">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lastRenderedPageBreak/>
              <w:t>2</w:t>
            </w:r>
            <w:r w:rsidR="006E66C6" w:rsidRPr="00265CC0">
              <w:rPr>
                <w:rFonts w:ascii="Times New Roman" w:hAnsi="Times New Roman" w:cs="Times New Roman"/>
                <w:b/>
                <w:sz w:val="24"/>
                <w:szCs w:val="24"/>
              </w:rPr>
              <w:t>3</w:t>
            </w:r>
            <w:r w:rsidRPr="00265CC0">
              <w:rPr>
                <w:rFonts w:ascii="Times New Roman" w:hAnsi="Times New Roman" w:cs="Times New Roman"/>
                <w:b/>
                <w:sz w:val="24"/>
                <w:szCs w:val="24"/>
              </w:rPr>
              <w:t>. Сирена</w:t>
            </w:r>
            <w:r w:rsidR="0091092F" w:rsidRPr="00265CC0">
              <w:rPr>
                <w:rFonts w:ascii="Times New Roman" w:hAnsi="Times New Roman" w:cs="Times New Roman"/>
                <w:b/>
                <w:sz w:val="24"/>
                <w:szCs w:val="24"/>
              </w:rPr>
              <w:t xml:space="preserve">: </w:t>
            </w:r>
          </w:p>
        </w:tc>
      </w:tr>
      <w:tr w:rsidR="00265CC0" w:rsidRPr="00265CC0" w:rsidTr="0055376D">
        <w:trPr>
          <w:trHeight w:val="283"/>
        </w:trPr>
        <w:tc>
          <w:tcPr>
            <w:tcW w:w="10348" w:type="dxa"/>
          </w:tcPr>
          <w:p w:rsidR="0091092F" w:rsidRPr="00265CC0" w:rsidRDefault="00F85770" w:rsidP="00AC63C3">
            <w:pPr>
              <w:tabs>
                <w:tab w:val="right" w:pos="361"/>
              </w:tabs>
              <w:spacing w:before="0" w:line="20" w:lineRule="atLeast"/>
              <w:rPr>
                <w:rFonts w:ascii="Times New Roman" w:hAnsi="Times New Roman" w:cs="Times New Roman"/>
                <w:b/>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3</w:t>
            </w:r>
            <w:r w:rsidRPr="00265CC0">
              <w:rPr>
                <w:rFonts w:ascii="Times New Roman" w:hAnsi="Times New Roman" w:cs="Times New Roman"/>
                <w:sz w:val="24"/>
                <w:szCs w:val="24"/>
              </w:rPr>
              <w:t xml:space="preserve">.1. </w:t>
            </w:r>
            <w:r w:rsidR="0091092F" w:rsidRPr="00265CC0">
              <w:rPr>
                <w:rFonts w:ascii="Times New Roman" w:hAnsi="Times New Roman" w:cs="Times New Roman"/>
                <w:sz w:val="24"/>
                <w:szCs w:val="24"/>
              </w:rPr>
              <w:t>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w:t>
            </w:r>
            <w:r w:rsidR="00AC63C3" w:rsidRPr="00265CC0">
              <w:rPr>
                <w:rFonts w:ascii="Times New Roman" w:hAnsi="Times New Roman" w:cs="Times New Roman"/>
                <w:sz w:val="24"/>
                <w:szCs w:val="24"/>
              </w:rPr>
              <w:t xml:space="preserve"> Допуска се монтирането на сирената в един панел с двете предни сигнални лампи по т. 22.1.</w:t>
            </w:r>
          </w:p>
        </w:tc>
      </w:tr>
      <w:tr w:rsidR="00265CC0" w:rsidRPr="00265CC0" w:rsidTr="0055376D">
        <w:trPr>
          <w:trHeight w:val="151"/>
        </w:trPr>
        <w:tc>
          <w:tcPr>
            <w:tcW w:w="10348" w:type="dxa"/>
          </w:tcPr>
          <w:p w:rsidR="0091092F" w:rsidRPr="00265CC0" w:rsidRDefault="00F85770" w:rsidP="006E66C6">
            <w:pPr>
              <w:spacing w:before="0" w:line="20" w:lineRule="atLeast"/>
              <w:rPr>
                <w:rFonts w:ascii="Times New Roman" w:hAnsi="Times New Roman" w:cs="Times New Roman"/>
                <w:b/>
                <w:sz w:val="24"/>
                <w:szCs w:val="24"/>
              </w:rPr>
            </w:pPr>
            <w:r w:rsidRPr="00265CC0">
              <w:rPr>
                <w:rFonts w:ascii="Times New Roman" w:hAnsi="Times New Roman" w:cs="Times New Roman"/>
                <w:b/>
                <w:sz w:val="24"/>
                <w:szCs w:val="24"/>
              </w:rPr>
              <w:t>2</w:t>
            </w:r>
            <w:r w:rsidR="006E66C6" w:rsidRPr="00265CC0">
              <w:rPr>
                <w:rFonts w:ascii="Times New Roman" w:hAnsi="Times New Roman" w:cs="Times New Roman"/>
                <w:b/>
                <w:sz w:val="24"/>
                <w:szCs w:val="24"/>
              </w:rPr>
              <w:t>4</w:t>
            </w:r>
            <w:r w:rsidRPr="00265CC0">
              <w:rPr>
                <w:rFonts w:ascii="Times New Roman" w:hAnsi="Times New Roman" w:cs="Times New Roman"/>
                <w:b/>
                <w:sz w:val="24"/>
                <w:szCs w:val="24"/>
              </w:rPr>
              <w:t xml:space="preserve">. </w:t>
            </w:r>
            <w:r w:rsidR="0091092F" w:rsidRPr="00265CC0">
              <w:rPr>
                <w:rFonts w:ascii="Times New Roman" w:hAnsi="Times New Roman" w:cs="Times New Roman"/>
                <w:b/>
                <w:sz w:val="24"/>
                <w:szCs w:val="24"/>
              </w:rPr>
              <w:t xml:space="preserve">Друга окомплектовка: </w:t>
            </w:r>
          </w:p>
        </w:tc>
      </w:tr>
      <w:tr w:rsidR="00265CC0" w:rsidRPr="00265CC0" w:rsidTr="0055376D">
        <w:trPr>
          <w:trHeight w:val="33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.1. Обезопасителни триъгълници - 2 бр., аптечка, пожарогасител и светлоотразителна жилетка (съгласно Закона за движение по пътищата)</w:t>
            </w:r>
          </w:p>
        </w:tc>
      </w:tr>
      <w:tr w:rsidR="00265CC0" w:rsidRPr="00265CC0" w:rsidTr="0055376D">
        <w:trPr>
          <w:trHeight w:val="256"/>
        </w:trPr>
        <w:tc>
          <w:tcPr>
            <w:tcW w:w="10348" w:type="dxa"/>
          </w:tcPr>
          <w:p w:rsidR="0091092F" w:rsidRPr="00265CC0" w:rsidRDefault="00F85770" w:rsidP="00252FB2">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.2. </w:t>
            </w:r>
            <w:r w:rsidR="00DF5F30" w:rsidRPr="00265CC0">
              <w:rPr>
                <w:rFonts w:ascii="Times New Roman" w:hAnsi="Times New Roman" w:cs="Times New Roman"/>
                <w:sz w:val="24"/>
                <w:szCs w:val="24"/>
              </w:rPr>
              <w:t>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w:t>
            </w:r>
            <w:r w:rsidR="00252FB2" w:rsidRPr="00265CC0">
              <w:rPr>
                <w:rFonts w:ascii="Times New Roman" w:hAnsi="Times New Roman" w:cs="Times New Roman"/>
                <w:sz w:val="24"/>
                <w:szCs w:val="24"/>
              </w:rPr>
              <w:t>, като достъпа до тях е осигурен извън санитарното отделение.</w:t>
            </w:r>
          </w:p>
        </w:tc>
      </w:tr>
      <w:tr w:rsidR="00265CC0" w:rsidRPr="00265CC0" w:rsidTr="0055376D">
        <w:trPr>
          <w:trHeight w:val="25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.3. </w:t>
            </w:r>
            <w:r w:rsidR="0091092F" w:rsidRPr="00265CC0">
              <w:rPr>
                <w:rFonts w:ascii="Times New Roman" w:hAnsi="Times New Roman" w:cs="Times New Roman"/>
                <w:sz w:val="24"/>
                <w:szCs w:val="24"/>
              </w:rPr>
              <w:t>Въже за теглене – 1бр.</w:t>
            </w:r>
          </w:p>
        </w:tc>
      </w:tr>
      <w:tr w:rsidR="00265CC0" w:rsidRPr="00265CC0" w:rsidTr="0055376D">
        <w:trPr>
          <w:trHeight w:val="256"/>
        </w:trPr>
        <w:tc>
          <w:tcPr>
            <w:tcW w:w="10348" w:type="dxa"/>
          </w:tcPr>
          <w:p w:rsidR="0091092F" w:rsidRPr="00265CC0" w:rsidRDefault="00F85770" w:rsidP="006E66C6">
            <w:pPr>
              <w:tabs>
                <w:tab w:val="right" w:pos="361"/>
              </w:tabs>
              <w:spacing w:before="0" w:line="20" w:lineRule="atLeast"/>
              <w:rPr>
                <w:rFonts w:ascii="Times New Roman" w:hAnsi="Times New Roman" w:cs="Times New Roman"/>
                <w:sz w:val="24"/>
                <w:szCs w:val="24"/>
              </w:rPr>
            </w:pPr>
            <w:r w:rsidRPr="00265CC0">
              <w:rPr>
                <w:rFonts w:ascii="Times New Roman" w:hAnsi="Times New Roman" w:cs="Times New Roman"/>
                <w:sz w:val="24"/>
                <w:szCs w:val="24"/>
              </w:rPr>
              <w:t>2</w:t>
            </w:r>
            <w:r w:rsidR="006E66C6" w:rsidRPr="00265CC0">
              <w:rPr>
                <w:rFonts w:ascii="Times New Roman" w:hAnsi="Times New Roman" w:cs="Times New Roman"/>
                <w:sz w:val="24"/>
                <w:szCs w:val="24"/>
              </w:rPr>
              <w:t>4</w:t>
            </w:r>
            <w:r w:rsidRPr="00265CC0">
              <w:rPr>
                <w:rFonts w:ascii="Times New Roman" w:hAnsi="Times New Roman" w:cs="Times New Roman"/>
                <w:sz w:val="24"/>
                <w:szCs w:val="24"/>
              </w:rPr>
              <w:t xml:space="preserve">.4. </w:t>
            </w:r>
            <w:r w:rsidR="00DF5F30" w:rsidRPr="00265CC0">
              <w:rPr>
                <w:rFonts w:ascii="Times New Roman" w:hAnsi="Times New Roman" w:cs="Times New Roman"/>
                <w:sz w:val="24"/>
                <w:szCs w:val="24"/>
              </w:rPr>
              <w:t xml:space="preserve">Кабел за външно захранване ~220 V-20 </w:t>
            </w:r>
            <w:r w:rsidR="00DF5F30" w:rsidRPr="00265CC0">
              <w:rPr>
                <w:rFonts w:ascii="Times New Roman" w:hAnsi="Times New Roman" w:cs="Times New Roman"/>
                <w:sz w:val="24"/>
                <w:szCs w:val="24"/>
                <w:lang w:val="en-US"/>
              </w:rPr>
              <w:t>m</w:t>
            </w:r>
            <w:r w:rsidR="00DF5F30" w:rsidRPr="00265CC0">
              <w:rPr>
                <w:rFonts w:ascii="Times New Roman" w:hAnsi="Times New Roman" w:cs="Times New Roman"/>
                <w:sz w:val="24"/>
                <w:szCs w:val="24"/>
              </w:rPr>
              <w:t>.</w:t>
            </w:r>
          </w:p>
        </w:tc>
      </w:tr>
    </w:tbl>
    <w:p w:rsidR="009161A1" w:rsidRPr="00265CC0" w:rsidRDefault="009161A1" w:rsidP="009161A1">
      <w:pPr>
        <w:keepNext/>
        <w:spacing w:before="0" w:line="20" w:lineRule="atLeast"/>
        <w:outlineLvl w:val="2"/>
        <w:rPr>
          <w:rFonts w:ascii="Times New Roman" w:hAnsi="Times New Roman" w:cs="Times New Roman"/>
          <w:b/>
          <w:bCs/>
          <w:sz w:val="24"/>
          <w:szCs w:val="24"/>
        </w:rPr>
      </w:pPr>
      <w:bookmarkStart w:id="1" w:name="_Toc462664204"/>
      <w:r w:rsidRPr="00265CC0">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0170A8">
        <w:trPr>
          <w:trHeight w:val="259"/>
        </w:trPr>
        <w:tc>
          <w:tcPr>
            <w:tcW w:w="10348" w:type="dxa"/>
          </w:tcPr>
          <w:p w:rsidR="009161A1" w:rsidRPr="00265CC0" w:rsidRDefault="009161A1" w:rsidP="009161A1">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265CC0">
              <w:rPr>
                <w:rFonts w:ascii="Times New Roman" w:hAnsi="Times New Roman" w:cs="Times New Roman"/>
                <w:b/>
                <w:sz w:val="24"/>
                <w:szCs w:val="24"/>
              </w:rPr>
              <w:t xml:space="preserve">Оборудване за пренасяне на пациент (БДС EN 1789:2007+A2:2014) </w:t>
            </w:r>
            <w:r w:rsidRPr="00265CC0">
              <w:rPr>
                <w:rFonts w:ascii="Times New Roman" w:hAnsi="Times New Roman" w:cs="Times New Roman"/>
                <w:sz w:val="24"/>
                <w:szCs w:val="24"/>
              </w:rPr>
              <w:t>(или еквивалент)</w:t>
            </w:r>
          </w:p>
        </w:tc>
      </w:tr>
      <w:tr w:rsidR="00265CC0" w:rsidRPr="00265CC0" w:rsidTr="000170A8">
        <w:trPr>
          <w:trHeight w:val="259"/>
        </w:trPr>
        <w:tc>
          <w:tcPr>
            <w:tcW w:w="10348" w:type="dxa"/>
          </w:tcPr>
          <w:p w:rsidR="009161A1" w:rsidRPr="00265CC0" w:rsidRDefault="0055376D" w:rsidP="009161A1">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265CC0">
              <w:rPr>
                <w:rFonts w:ascii="Times New Roman" w:hAnsi="Times New Roman" w:cs="Times New Roman"/>
                <w:b/>
                <w:sz w:val="24"/>
                <w:szCs w:val="24"/>
              </w:rPr>
              <w:t>Основна носилка/шаси на носилка (съобразена със стандарт БДС EN 1865 или еквивалент)</w:t>
            </w:r>
            <w:r w:rsidR="00F2519E" w:rsidRPr="00F2519E">
              <w:rPr>
                <w:rFonts w:ascii="Times New Roman" w:hAnsi="Times New Roman" w:cs="Times New Roman"/>
              </w:rPr>
              <w:t xml:space="preserve"> </w:t>
            </w:r>
            <w:r w:rsidR="00F2519E" w:rsidRPr="00F2519E">
              <w:rPr>
                <w:rFonts w:ascii="Times New Roman" w:hAnsi="Times New Roman" w:cs="Times New Roman"/>
                <w:b/>
                <w:sz w:val="24"/>
                <w:szCs w:val="24"/>
              </w:rPr>
              <w:t>– 1 бр</w:t>
            </w:r>
            <w:r w:rsidRPr="00265CC0">
              <w:rPr>
                <w:rFonts w:ascii="Times New Roman" w:hAnsi="Times New Roman" w:cs="Times New Roman"/>
                <w:b/>
                <w:sz w:val="24"/>
                <w:szCs w:val="24"/>
              </w:rPr>
              <w:t>:</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265CC0">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 xml:space="preserve">Носещият капацитет на носилката трябва да бъде не по-малко от 180 </w:t>
            </w:r>
            <w:r w:rsidRPr="00265CC0">
              <w:rPr>
                <w:rFonts w:ascii="Times New Roman" w:hAnsi="Times New Roman" w:cs="Times New Roman"/>
                <w:lang w:val="en-US"/>
              </w:rPr>
              <w:t>kg</w:t>
            </w:r>
            <w:r w:rsidRPr="00265CC0">
              <w:rPr>
                <w:rFonts w:ascii="Times New Roman" w:hAnsi="Times New Roman" w:cs="Times New Roman"/>
              </w:rPr>
              <w:t>.</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Необходимо е облегалката да е регулируема от 0° до 70° или повече.</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265CC0">
              <w:rPr>
                <w:rFonts w:ascii="Times New Roman" w:hAnsi="Times New Roman" w:cs="Times New Roman"/>
                <w:sz w:val="24"/>
                <w:szCs w:val="24"/>
              </w:rPr>
              <w:t>Пациентът да може да се позиционира в антишокова позиция Тренделенбург.</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265CC0" w:rsidRPr="00265CC0" w:rsidTr="000170A8">
        <w:trPr>
          <w:trHeight w:val="292"/>
        </w:trPr>
        <w:tc>
          <w:tcPr>
            <w:tcW w:w="10348" w:type="dxa"/>
          </w:tcPr>
          <w:p w:rsidR="009161A1" w:rsidRPr="00265CC0" w:rsidRDefault="009161A1" w:rsidP="000604CF">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AC63C3" w:rsidRPr="00265CC0">
              <w:rPr>
                <w:rFonts w:ascii="Times New Roman" w:hAnsi="Times New Roman" w:cs="Times New Roman"/>
                <w:sz w:val="24"/>
                <w:szCs w:val="24"/>
              </w:rPr>
              <w:t>БДС EN 1865 или еквивалент)</w:t>
            </w:r>
            <w:r w:rsidRPr="00265CC0">
              <w:rPr>
                <w:rFonts w:ascii="Times New Roman" w:hAnsi="Times New Roman" w:cs="Times New Roman"/>
                <w:sz w:val="24"/>
                <w:szCs w:val="24"/>
              </w:rPr>
              <w:t>.</w:t>
            </w:r>
          </w:p>
        </w:tc>
      </w:tr>
      <w:tr w:rsidR="00265CC0" w:rsidRPr="00265CC0" w:rsidTr="000170A8">
        <w:trPr>
          <w:trHeight w:val="292"/>
        </w:trPr>
        <w:tc>
          <w:tcPr>
            <w:tcW w:w="10348" w:type="dxa"/>
          </w:tcPr>
          <w:p w:rsidR="009161A1" w:rsidRPr="00265CC0" w:rsidRDefault="00EE0044"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265CC0" w:rsidRPr="00265CC0" w:rsidTr="000170A8">
        <w:trPr>
          <w:trHeight w:val="292"/>
        </w:trPr>
        <w:tc>
          <w:tcPr>
            <w:tcW w:w="10348" w:type="dxa"/>
          </w:tcPr>
          <w:p w:rsidR="009161A1" w:rsidRPr="00265CC0" w:rsidRDefault="009161A1" w:rsidP="000604CF">
            <w:pPr>
              <w:pStyle w:val="ListParagraph"/>
              <w:numPr>
                <w:ilvl w:val="1"/>
                <w:numId w:val="47"/>
              </w:numPr>
              <w:tabs>
                <w:tab w:val="left" w:pos="35"/>
              </w:tabs>
              <w:spacing w:before="0" w:line="20" w:lineRule="atLeast"/>
              <w:ind w:left="34" w:firstLine="1"/>
              <w:rPr>
                <w:rFonts w:ascii="Times New Roman" w:hAnsi="Times New Roman" w:cs="Times New Roman"/>
                <w:sz w:val="24"/>
                <w:szCs w:val="24"/>
              </w:rPr>
            </w:pPr>
            <w:r w:rsidRPr="00265CC0">
              <w:rPr>
                <w:rFonts w:ascii="Times New Roman" w:hAnsi="Times New Roman" w:cs="Times New Roman"/>
                <w:sz w:val="24"/>
                <w:szCs w:val="24"/>
              </w:rPr>
              <w:t xml:space="preserve">Носилката не трябва да тежи повече от 45 </w:t>
            </w:r>
            <w:r w:rsidRPr="00265CC0">
              <w:rPr>
                <w:rFonts w:ascii="Times New Roman" w:hAnsi="Times New Roman" w:cs="Times New Roman"/>
                <w:lang w:val="en-US"/>
              </w:rPr>
              <w:t>kg</w:t>
            </w:r>
            <w:r w:rsidRPr="00265CC0">
              <w:rPr>
                <w:rFonts w:ascii="Times New Roman" w:hAnsi="Times New Roman" w:cs="Times New Roman"/>
                <w:sz w:val="24"/>
                <w:szCs w:val="24"/>
              </w:rPr>
              <w:t xml:space="preserve"> (стандарт </w:t>
            </w:r>
            <w:r w:rsidR="00EE0044" w:rsidRPr="00265CC0">
              <w:rPr>
                <w:rFonts w:ascii="Times New Roman" w:hAnsi="Times New Roman" w:cs="Times New Roman"/>
                <w:sz w:val="24"/>
                <w:szCs w:val="24"/>
              </w:rPr>
              <w:t>БДС EN 1865 или еквивалент)</w:t>
            </w:r>
            <w:r w:rsidRPr="00265CC0">
              <w:rPr>
                <w:rFonts w:ascii="Times New Roman" w:hAnsi="Times New Roman" w:cs="Times New Roman"/>
                <w:sz w:val="24"/>
                <w:szCs w:val="24"/>
              </w:rPr>
              <w:t>.</w:t>
            </w:r>
          </w:p>
        </w:tc>
      </w:tr>
      <w:tr w:rsidR="00265CC0" w:rsidRPr="00265CC0" w:rsidTr="000170A8">
        <w:trPr>
          <w:trHeight w:val="292"/>
        </w:trPr>
        <w:tc>
          <w:tcPr>
            <w:tcW w:w="10348" w:type="dxa"/>
          </w:tcPr>
          <w:p w:rsidR="009161A1" w:rsidRPr="00265CC0" w:rsidRDefault="009161A1" w:rsidP="00EA51F3">
            <w:pPr>
              <w:pStyle w:val="ListParagraph"/>
              <w:numPr>
                <w:ilvl w:val="1"/>
                <w:numId w:val="47"/>
              </w:numPr>
              <w:tabs>
                <w:tab w:val="left" w:pos="603"/>
              </w:tabs>
              <w:spacing w:before="0" w:line="20" w:lineRule="atLeast"/>
              <w:ind w:left="360"/>
              <w:rPr>
                <w:rFonts w:ascii="Times New Roman" w:hAnsi="Times New Roman" w:cs="Times New Roman"/>
                <w:sz w:val="24"/>
                <w:szCs w:val="24"/>
              </w:rPr>
            </w:pPr>
            <w:r w:rsidRPr="00265CC0">
              <w:rPr>
                <w:rFonts w:ascii="Times New Roman" w:hAnsi="Times New Roman" w:cs="Times New Roman"/>
                <w:sz w:val="24"/>
                <w:szCs w:val="24"/>
              </w:rPr>
              <w:t>Окомплектовка на носилката:</w:t>
            </w:r>
          </w:p>
        </w:tc>
      </w:tr>
      <w:tr w:rsidR="00265CC0" w:rsidRPr="00265CC0" w:rsidTr="000170A8">
        <w:trPr>
          <w:trHeight w:val="292"/>
        </w:trPr>
        <w:tc>
          <w:tcPr>
            <w:tcW w:w="10348" w:type="dxa"/>
          </w:tcPr>
          <w:p w:rsidR="009161A1" w:rsidRPr="00265CC0" w:rsidRDefault="009161A1" w:rsidP="00E026EF">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265CC0">
              <w:rPr>
                <w:rFonts w:ascii="Times New Roman" w:hAnsi="Times New Roman" w:cs="Times New Roman"/>
                <w:sz w:val="24"/>
                <w:szCs w:val="24"/>
              </w:rPr>
              <w:t>Анатомичен матрак с херметичен шев, антибактериален и огнеупорен</w:t>
            </w:r>
            <w:r w:rsidR="00E026EF" w:rsidRPr="00265CC0">
              <w:rPr>
                <w:rFonts w:ascii="Times New Roman" w:hAnsi="Times New Roman" w:cs="Times New Roman"/>
                <w:sz w:val="24"/>
                <w:szCs w:val="24"/>
              </w:rPr>
              <w:t xml:space="preserve"> устойчив на почистване с дезинфекционни препарати;</w:t>
            </w:r>
          </w:p>
        </w:tc>
      </w:tr>
      <w:tr w:rsidR="00265CC0" w:rsidRPr="00265CC0" w:rsidTr="000170A8">
        <w:trPr>
          <w:trHeight w:val="292"/>
        </w:trPr>
        <w:tc>
          <w:tcPr>
            <w:tcW w:w="10348" w:type="dxa"/>
          </w:tcPr>
          <w:p w:rsidR="009161A1" w:rsidRPr="00265CC0" w:rsidRDefault="000604CF" w:rsidP="009161A1">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265CC0">
              <w:rPr>
                <w:rFonts w:ascii="Times New Roman" w:hAnsi="Times New Roman" w:cs="Times New Roman"/>
                <w:sz w:val="24"/>
                <w:szCs w:val="24"/>
              </w:rPr>
              <w:t xml:space="preserve">Не по-малко от два броя </w:t>
            </w:r>
            <w:r w:rsidR="009161A1" w:rsidRPr="00265CC0">
              <w:rPr>
                <w:rFonts w:ascii="Times New Roman" w:hAnsi="Times New Roman" w:cs="Times New Roman"/>
                <w:sz w:val="24"/>
                <w:szCs w:val="24"/>
              </w:rPr>
              <w:t>обезопасителни колани, вкл. един гръден колан, със светлоотразително покритие.</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Контролните механизми на платформата да са монтирани на контролно табло</w:t>
            </w:r>
            <w:r w:rsidRPr="00265CC0">
              <w:rPr>
                <w:rFonts w:ascii="Times New Roman" w:hAnsi="Times New Roman" w:cs="Times New Roman"/>
              </w:rPr>
              <w:t xml:space="preserve"> </w:t>
            </w:r>
            <w:r w:rsidRPr="00265CC0">
              <w:rPr>
                <w:rFonts w:ascii="Times New Roman" w:hAnsi="Times New Roman" w:cs="Times New Roman"/>
                <w:sz w:val="24"/>
                <w:szCs w:val="24"/>
              </w:rPr>
              <w:t xml:space="preserve">или на друго подходящо </w:t>
            </w:r>
            <w:r w:rsidR="000604CF" w:rsidRPr="00265CC0">
              <w:rPr>
                <w:rFonts w:ascii="Times New Roman" w:hAnsi="Times New Roman" w:cs="Times New Roman"/>
                <w:sz w:val="24"/>
                <w:szCs w:val="24"/>
              </w:rPr>
              <w:t xml:space="preserve">за боравене </w:t>
            </w:r>
            <w:r w:rsidRPr="00265CC0">
              <w:rPr>
                <w:rFonts w:ascii="Times New Roman" w:hAnsi="Times New Roman" w:cs="Times New Roman"/>
                <w:sz w:val="24"/>
                <w:szCs w:val="24"/>
              </w:rPr>
              <w:t>място.</w:t>
            </w:r>
          </w:p>
        </w:tc>
      </w:tr>
      <w:tr w:rsidR="00265CC0" w:rsidRPr="00265CC0" w:rsidTr="000170A8">
        <w:trPr>
          <w:trHeight w:val="292"/>
        </w:trPr>
        <w:tc>
          <w:tcPr>
            <w:tcW w:w="10348" w:type="dxa"/>
          </w:tcPr>
          <w:p w:rsidR="009161A1" w:rsidRPr="00265CC0" w:rsidRDefault="009161A1" w:rsidP="009161A1">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265CC0">
              <w:rPr>
                <w:rFonts w:ascii="Times New Roman" w:hAnsi="Times New Roman" w:cs="Times New Roman"/>
                <w:sz w:val="24"/>
                <w:szCs w:val="24"/>
                <w:lang w:val="en-US"/>
              </w:rPr>
              <w:t>c</w:t>
            </w:r>
            <w:r w:rsidRPr="00265CC0">
              <w:rPr>
                <w:rFonts w:ascii="Times New Roman" w:hAnsi="Times New Roman" w:cs="Times New Roman"/>
                <w:sz w:val="24"/>
                <w:szCs w:val="24"/>
              </w:rPr>
              <w:t xml:space="preserve">m от нивото на пода и на не по-малко от 110 </w:t>
            </w:r>
            <w:r w:rsidRPr="00265CC0">
              <w:rPr>
                <w:rFonts w:ascii="Times New Roman" w:hAnsi="Times New Roman" w:cs="Times New Roman"/>
                <w:sz w:val="24"/>
                <w:szCs w:val="24"/>
                <w:lang w:val="en-US"/>
              </w:rPr>
              <w:t>c</w:t>
            </w:r>
            <w:r w:rsidRPr="00265CC0">
              <w:rPr>
                <w:rFonts w:ascii="Times New Roman" w:hAnsi="Times New Roman" w:cs="Times New Roman"/>
                <w:sz w:val="24"/>
                <w:szCs w:val="24"/>
              </w:rPr>
              <w:t xml:space="preserve">m от тавана, работната височина на носилката да е съобразена със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w:t>
            </w:r>
          </w:p>
        </w:tc>
      </w:tr>
      <w:tr w:rsidR="00265CC0" w:rsidRPr="00265CC0" w:rsidTr="000170A8">
        <w:trPr>
          <w:trHeight w:val="314"/>
        </w:trPr>
        <w:tc>
          <w:tcPr>
            <w:tcW w:w="10348" w:type="dxa"/>
          </w:tcPr>
          <w:p w:rsidR="009161A1" w:rsidRPr="00265CC0" w:rsidRDefault="009161A1" w:rsidP="002B0E97">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b/>
                <w:sz w:val="24"/>
                <w:szCs w:val="24"/>
              </w:rPr>
              <w:lastRenderedPageBreak/>
              <w:t xml:space="preserve">Гръбначна носилка за пациенти с травми на гръбначния стълб тип </w:t>
            </w:r>
            <w:r w:rsidR="005A65A8" w:rsidRPr="00265CC0">
              <w:rPr>
                <w:rFonts w:ascii="Times New Roman" w:hAnsi="Times New Roman" w:cs="Times New Roman"/>
                <w:b/>
                <w:sz w:val="24"/>
                <w:szCs w:val="24"/>
              </w:rPr>
              <w:t>„гръбначна“</w:t>
            </w:r>
            <w:r w:rsidRPr="00265CC0">
              <w:rPr>
                <w:rFonts w:ascii="Times New Roman" w:hAnsi="Times New Roman" w:cs="Times New Roman"/>
                <w:b/>
                <w:sz w:val="24"/>
                <w:szCs w:val="24"/>
              </w:rPr>
              <w:t xml:space="preserve"> </w:t>
            </w:r>
            <w:r w:rsidRPr="00265CC0">
              <w:rPr>
                <w:rFonts w:ascii="Times New Roman" w:hAnsi="Times New Roman" w:cs="Times New Roman"/>
                <w:sz w:val="24"/>
                <w:szCs w:val="24"/>
              </w:rPr>
              <w:t>комплект за деца и възрастни (съобразена със стандарт БДС EN 1865 (или еквивалент)) – 1 бр.</w:t>
            </w:r>
            <w:r w:rsidRPr="00265CC0">
              <w:rPr>
                <w:sz w:val="20"/>
                <w:szCs w:val="20"/>
              </w:rPr>
              <w:t xml:space="preserve"> </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b/>
                <w:sz w:val="24"/>
                <w:szCs w:val="24"/>
              </w:rPr>
            </w:pPr>
            <w:r w:rsidRPr="00265CC0">
              <w:rPr>
                <w:rFonts w:ascii="Times New Roman" w:hAnsi="Times New Roman" w:cs="Times New Roman"/>
                <w:sz w:val="24"/>
                <w:szCs w:val="24"/>
              </w:rPr>
              <w:t xml:space="preserve">Да е закрепена на лесно достъпно място. </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461"/>
              </w:tabs>
              <w:spacing w:before="0" w:line="20" w:lineRule="atLeast"/>
              <w:ind w:left="360" w:hanging="326"/>
              <w:rPr>
                <w:rFonts w:ascii="Times New Roman" w:hAnsi="Times New Roman" w:cs="Times New Roman"/>
                <w:sz w:val="24"/>
                <w:szCs w:val="24"/>
              </w:rPr>
            </w:pPr>
            <w:r w:rsidRPr="00265CC0">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265CC0" w:rsidRPr="00265CC0" w:rsidTr="000170A8">
        <w:trPr>
          <w:trHeight w:val="228"/>
        </w:trPr>
        <w:tc>
          <w:tcPr>
            <w:tcW w:w="10348" w:type="dxa"/>
          </w:tcPr>
          <w:p w:rsidR="009161A1" w:rsidRPr="00265CC0" w:rsidRDefault="005A65A8" w:rsidP="009161A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265CC0" w:rsidRPr="00265CC0" w:rsidTr="000170A8">
        <w:trPr>
          <w:trHeight w:val="228"/>
        </w:trPr>
        <w:tc>
          <w:tcPr>
            <w:tcW w:w="10348" w:type="dxa"/>
          </w:tcPr>
          <w:p w:rsidR="009161A1" w:rsidRPr="00265CC0" w:rsidRDefault="009161A1" w:rsidP="00EF23B5">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EF23B5" w:rsidRPr="00265CC0">
              <w:rPr>
                <w:rFonts w:ascii="Times New Roman" w:hAnsi="Times New Roman" w:cs="Times New Roman"/>
                <w:sz w:val="24"/>
                <w:szCs w:val="24"/>
              </w:rPr>
              <w:t xml:space="preserve"> и да е устойчиво на почистване с дезинфекционни препарати.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265CC0">
              <w:rPr>
                <w:rFonts w:ascii="Times New Roman" w:hAnsi="Times New Roman" w:cs="Times New Roman"/>
                <w:bCs/>
                <w:sz w:val="24"/>
                <w:szCs w:val="24"/>
              </w:rPr>
              <w:t>БДС EN</w:t>
            </w:r>
            <w:r w:rsidRPr="00265CC0">
              <w:rPr>
                <w:rFonts w:ascii="Times New Roman" w:hAnsi="Times New Roman" w:cs="Times New Roman"/>
                <w:sz w:val="24"/>
                <w:szCs w:val="24"/>
              </w:rPr>
              <w:t xml:space="preserve"> 1789:2007+A2:2014 (или еквивалент).</w:t>
            </w:r>
          </w:p>
        </w:tc>
      </w:tr>
      <w:tr w:rsidR="00265CC0" w:rsidRPr="00265CC0" w:rsidTr="000170A8">
        <w:trPr>
          <w:trHeight w:val="228"/>
        </w:trPr>
        <w:tc>
          <w:tcPr>
            <w:tcW w:w="10348" w:type="dxa"/>
          </w:tcPr>
          <w:p w:rsidR="009161A1" w:rsidRPr="00265CC0" w:rsidRDefault="0040702F" w:rsidP="009161A1">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265CC0">
              <w:rPr>
                <w:rFonts w:ascii="Times New Roman" w:hAnsi="Times New Roman" w:cs="Times New Roman"/>
                <w:b/>
                <w:sz w:val="24"/>
                <w:szCs w:val="24"/>
                <w:lang w:val="ru-RU"/>
              </w:rPr>
              <w:t xml:space="preserve">Сгъваема носилка тип "столче" за транспортиране на болни </w:t>
            </w:r>
            <w:r w:rsidRPr="00265CC0">
              <w:rPr>
                <w:rFonts w:ascii="Times New Roman" w:hAnsi="Times New Roman" w:cs="Times New Roman"/>
                <w:b/>
                <w:sz w:val="24"/>
                <w:szCs w:val="24"/>
              </w:rPr>
              <w:t>(съобразена със стандарт БДС EN 1865 или еквивалент) – 1 бр.</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265CC0">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265CC0">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rPr>
              <w:t>По две дръжки отпред и отзад за носене на стола от двама души.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65CC0">
              <w:rPr>
                <w:rFonts w:ascii="Times New Roman" w:hAnsi="Times New Roman" w:cs="Times New Roman"/>
                <w:bCs/>
                <w:sz w:val="24"/>
                <w:szCs w:val="24"/>
              </w:rPr>
              <w:t>Сгъваема опора за краката.</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265CC0">
              <w:rPr>
                <w:rFonts w:ascii="Times New Roman" w:hAnsi="Times New Roman" w:cs="Times New Roman"/>
                <w:bCs/>
                <w:sz w:val="24"/>
                <w:szCs w:val="24"/>
              </w:rPr>
              <w:t>Мека облегалка за гърба</w:t>
            </w:r>
          </w:p>
        </w:tc>
      </w:tr>
      <w:tr w:rsidR="00265CC0" w:rsidRPr="00265CC0" w:rsidTr="000170A8">
        <w:trPr>
          <w:trHeight w:val="228"/>
        </w:trPr>
        <w:tc>
          <w:tcPr>
            <w:tcW w:w="10348" w:type="dxa"/>
          </w:tcPr>
          <w:p w:rsidR="009161A1" w:rsidRPr="00265CC0" w:rsidRDefault="00FF7E58" w:rsidP="00FF7E58">
            <w:pPr>
              <w:pStyle w:val="ListParagraph"/>
              <w:numPr>
                <w:ilvl w:val="1"/>
                <w:numId w:val="47"/>
              </w:numPr>
              <w:tabs>
                <w:tab w:val="right" w:pos="35"/>
                <w:tab w:val="left" w:pos="460"/>
              </w:tabs>
              <w:spacing w:before="0" w:line="20" w:lineRule="atLeast"/>
              <w:ind w:left="0" w:firstLine="34"/>
              <w:rPr>
                <w:rFonts w:ascii="Times New Roman" w:hAnsi="Times New Roman" w:cs="Times New Roman"/>
                <w:bCs/>
                <w:sz w:val="24"/>
                <w:szCs w:val="24"/>
                <w:lang w:val="ru-RU"/>
              </w:rPr>
            </w:pPr>
            <w:r w:rsidRPr="00265CC0">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265CC0">
              <w:rPr>
                <w:sz w:val="24"/>
                <w:szCs w:val="24"/>
              </w:rPr>
              <w:t xml:space="preserve"> </w:t>
            </w:r>
            <w:r w:rsidRPr="00265CC0">
              <w:rPr>
                <w:rFonts w:ascii="Times New Roman" w:hAnsi="Times New Roman" w:cs="Times New Roman"/>
                <w:bCs/>
                <w:sz w:val="24"/>
                <w:szCs w:val="24"/>
              </w:rPr>
              <w:t>и да е устойчиво на почистване с дезинфекционни препарати.</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lang w:val="ru-RU"/>
              </w:rPr>
              <w:t xml:space="preserve">Максималното и тегло да е под 15 </w:t>
            </w:r>
            <w:r w:rsidRPr="00265CC0">
              <w:rPr>
                <w:rFonts w:ascii="Times New Roman" w:hAnsi="Times New Roman" w:cs="Times New Roman"/>
                <w:bCs/>
                <w:sz w:val="24"/>
                <w:szCs w:val="24"/>
                <w:lang w:val="en-US"/>
              </w:rPr>
              <w:t>kg</w:t>
            </w:r>
            <w:r w:rsidRPr="00265CC0">
              <w:rPr>
                <w:rFonts w:ascii="Times New Roman" w:hAnsi="Times New Roman" w:cs="Times New Roman"/>
                <w:bCs/>
                <w:sz w:val="24"/>
                <w:szCs w:val="24"/>
                <w:lang w:val="ru-RU"/>
              </w:rPr>
              <w:t xml:space="preserve">., а товароподемността над 150 </w:t>
            </w:r>
            <w:r w:rsidRPr="00265CC0">
              <w:rPr>
                <w:rFonts w:ascii="Times New Roman" w:hAnsi="Times New Roman" w:cs="Times New Roman"/>
                <w:bCs/>
                <w:sz w:val="24"/>
                <w:szCs w:val="24"/>
                <w:lang w:val="en-US"/>
              </w:rPr>
              <w:t>kg</w:t>
            </w:r>
            <w:r w:rsidRPr="00265CC0">
              <w:rPr>
                <w:rFonts w:ascii="Times New Roman" w:hAnsi="Times New Roman" w:cs="Times New Roman"/>
                <w:bCs/>
                <w:sz w:val="24"/>
                <w:szCs w:val="24"/>
                <w:lang w:val="ru-RU"/>
              </w:rPr>
              <w:t>.</w:t>
            </w:r>
          </w:p>
        </w:tc>
      </w:tr>
      <w:tr w:rsidR="00265CC0" w:rsidRPr="00265CC0" w:rsidTr="000170A8">
        <w:trPr>
          <w:trHeight w:val="228"/>
        </w:trPr>
        <w:tc>
          <w:tcPr>
            <w:tcW w:w="10348" w:type="dxa"/>
          </w:tcPr>
          <w:p w:rsidR="009161A1" w:rsidRPr="00265CC0" w:rsidRDefault="009161A1" w:rsidP="009161A1">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265CC0">
              <w:rPr>
                <w:rFonts w:ascii="Times New Roman" w:hAnsi="Times New Roman" w:cs="Times New Roman"/>
                <w:bCs/>
                <w:sz w:val="24"/>
                <w:szCs w:val="24"/>
              </w:rPr>
              <w:t>Интегрирани обезопасителни колани.</w:t>
            </w:r>
          </w:p>
        </w:tc>
      </w:tr>
      <w:tr w:rsidR="00265CC0" w:rsidRPr="00265CC0" w:rsidTr="009E5341">
        <w:trPr>
          <w:trHeight w:val="259"/>
        </w:trPr>
        <w:tc>
          <w:tcPr>
            <w:tcW w:w="10348" w:type="dxa"/>
          </w:tcPr>
          <w:p w:rsidR="000573A3" w:rsidRPr="00265CC0" w:rsidRDefault="000573A3" w:rsidP="009E5341">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265CC0">
              <w:rPr>
                <w:rFonts w:ascii="Times New Roman" w:hAnsi="Times New Roman" w:cs="Times New Roman"/>
                <w:b/>
                <w:sz w:val="24"/>
                <w:szCs w:val="24"/>
              </w:rPr>
              <w:t xml:space="preserve">Оборудване за имобилизация (БДС EN 1789:2007+A2:2014 </w:t>
            </w:r>
            <w:r w:rsidRPr="00265CC0">
              <w:rPr>
                <w:rFonts w:ascii="Times New Roman" w:hAnsi="Times New Roman" w:cs="Times New Roman"/>
                <w:sz w:val="24"/>
                <w:szCs w:val="24"/>
              </w:rPr>
              <w:t>или еквивалент)</w:t>
            </w:r>
            <w:r w:rsidRPr="00265CC0">
              <w:rPr>
                <w:rFonts w:ascii="Times New Roman" w:hAnsi="Times New Roman" w:cs="Times New Roman"/>
                <w:b/>
                <w:sz w:val="24"/>
                <w:szCs w:val="24"/>
              </w:rPr>
              <w:t xml:space="preserve"> </w:t>
            </w:r>
          </w:p>
        </w:tc>
      </w:tr>
      <w:tr w:rsidR="00265CC0" w:rsidRPr="00265CC0" w:rsidTr="009E5341">
        <w:trPr>
          <w:trHeight w:val="259"/>
        </w:trPr>
        <w:tc>
          <w:tcPr>
            <w:tcW w:w="10348" w:type="dxa"/>
          </w:tcPr>
          <w:p w:rsidR="000573A3" w:rsidRPr="00265CC0" w:rsidRDefault="000573A3" w:rsidP="009E5341">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Устройство за изтегляне на хора, блокирани при катастрофи – 1 бр.</w:t>
            </w:r>
          </w:p>
        </w:tc>
      </w:tr>
      <w:tr w:rsidR="00265CC0" w:rsidRPr="00265CC0" w:rsidTr="000170A8">
        <w:tc>
          <w:tcPr>
            <w:tcW w:w="10348" w:type="dxa"/>
          </w:tcPr>
          <w:p w:rsidR="0043308B" w:rsidRPr="00265CC0" w:rsidRDefault="0043308B" w:rsidP="0043308B">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265CC0">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265CC0">
              <w:rPr>
                <w:rFonts w:ascii="Times New Roman" w:hAnsi="Times New Roman" w:cs="Times New Roman"/>
                <w:b/>
                <w:sz w:val="24"/>
                <w:szCs w:val="24"/>
                <w:lang w:val="en-US"/>
              </w:rPr>
              <w:t xml:space="preserve"> </w:t>
            </w:r>
            <w:r w:rsidRPr="00265CC0">
              <w:rPr>
                <w:rFonts w:ascii="Times New Roman" w:hAnsi="Times New Roman" w:cs="Times New Roman"/>
                <w:b/>
                <w:sz w:val="24"/>
                <w:szCs w:val="24"/>
              </w:rPr>
              <w:t>или еквивалент )</w:t>
            </w:r>
          </w:p>
        </w:tc>
      </w:tr>
      <w:tr w:rsidR="00265CC0" w:rsidRPr="00265CC0" w:rsidTr="002A21AD">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265CC0" w:rsidRPr="00265CC0" w:rsidTr="002A21AD">
        <w:trPr>
          <w:trHeight w:val="543"/>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43308B" w:rsidRPr="00265CC0" w:rsidRDefault="0043308B" w:rsidP="0043308B">
            <w:pPr>
              <w:pStyle w:val="ListParagraph"/>
              <w:tabs>
                <w:tab w:val="left" w:pos="461"/>
              </w:tabs>
              <w:ind w:left="35"/>
              <w:rPr>
                <w:rFonts w:ascii="Times New Roman" w:hAnsi="Times New Roman" w:cs="Times New Roman"/>
                <w:sz w:val="24"/>
                <w:szCs w:val="24"/>
              </w:rPr>
            </w:pPr>
            <w:r w:rsidRPr="00265CC0">
              <w:rPr>
                <w:rFonts w:ascii="Times New Roman" w:hAnsi="Times New Roman" w:cs="Times New Roman"/>
                <w:sz w:val="24"/>
                <w:szCs w:val="24"/>
              </w:rPr>
              <w:t>необходимото налягане в инсталацията и следи налягането в бутилките.</w:t>
            </w:r>
          </w:p>
        </w:tc>
      </w:tr>
      <w:tr w:rsidR="00265CC0" w:rsidRPr="00265CC0" w:rsidTr="002A21AD">
        <w:trPr>
          <w:trHeight w:val="597"/>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Бутилките трябва да са свързани към кислородната инсталация на автомобила.</w:t>
            </w:r>
          </w:p>
        </w:tc>
      </w:tr>
      <w:tr w:rsidR="00265CC0" w:rsidRPr="00265CC0" w:rsidTr="002A21AD">
        <w:trPr>
          <w:trHeight w:val="280"/>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265CC0" w:rsidRPr="00265CC0" w:rsidTr="002A21AD">
        <w:trPr>
          <w:trHeight w:val="607"/>
        </w:trPr>
        <w:tc>
          <w:tcPr>
            <w:tcW w:w="10348" w:type="dxa"/>
            <w:tcBorders>
              <w:top w:val="single" w:sz="4" w:space="0" w:color="auto"/>
              <w:left w:val="single" w:sz="4" w:space="0" w:color="auto"/>
              <w:bottom w:val="single" w:sz="4" w:space="0" w:color="auto"/>
              <w:right w:val="single" w:sz="4" w:space="0" w:color="auto"/>
            </w:tcBorders>
          </w:tcPr>
          <w:p w:rsidR="0043308B" w:rsidRPr="00265CC0" w:rsidRDefault="0043308B" w:rsidP="0043308B">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265CC0">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265CC0" w:rsidRPr="00265CC0" w:rsidTr="000170A8">
        <w:trPr>
          <w:trHeight w:val="607"/>
        </w:trPr>
        <w:tc>
          <w:tcPr>
            <w:tcW w:w="10348" w:type="dxa"/>
          </w:tcPr>
          <w:p w:rsidR="000573A3" w:rsidRPr="00265CC0" w:rsidRDefault="000573A3" w:rsidP="000573A3">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265CC0">
              <w:rPr>
                <w:rFonts w:ascii="Times New Roman" w:hAnsi="Times New Roman" w:cs="Times New Roman"/>
                <w:b/>
                <w:sz w:val="24"/>
                <w:szCs w:val="24"/>
              </w:rPr>
              <w:t>Устройство за засмукване/Аспирационна инсталация</w:t>
            </w:r>
            <w:r w:rsidRPr="00265CC0">
              <w:rPr>
                <w:rFonts w:ascii="Times New Roman" w:hAnsi="Times New Roman" w:cs="Times New Roman"/>
                <w:sz w:val="24"/>
                <w:szCs w:val="24"/>
              </w:rPr>
              <w:t xml:space="preserve"> (БДС EN ISO 10079-1, </w:t>
            </w:r>
            <w:r w:rsidRPr="00265CC0">
              <w:rPr>
                <w:rFonts w:ascii="Times New Roman" w:hAnsi="Times New Roman" w:cs="Times New Roman"/>
                <w:bCs/>
                <w:sz w:val="24"/>
                <w:szCs w:val="24"/>
              </w:rPr>
              <w:t>БДС EN</w:t>
            </w:r>
            <w:r w:rsidRPr="00265CC0">
              <w:rPr>
                <w:rFonts w:ascii="Times New Roman" w:hAnsi="Times New Roman" w:cs="Times New Roman"/>
                <w:b/>
                <w:sz w:val="24"/>
                <w:szCs w:val="24"/>
              </w:rPr>
              <w:t xml:space="preserve"> </w:t>
            </w:r>
            <w:r w:rsidRPr="00265CC0">
              <w:rPr>
                <w:rFonts w:ascii="Times New Roman" w:hAnsi="Times New Roman" w:cs="Times New Roman"/>
                <w:sz w:val="24"/>
                <w:szCs w:val="24"/>
              </w:rPr>
              <w:t>ISO 10079-3:2014</w:t>
            </w:r>
            <w:r w:rsidRPr="00265CC0">
              <w:rPr>
                <w:rFonts w:ascii="Times New Roman" w:hAnsi="Times New Roman" w:cs="Times New Roman"/>
                <w:sz w:val="24"/>
                <w:szCs w:val="24"/>
                <w:lang w:val="en-US"/>
              </w:rPr>
              <w:t xml:space="preserve"> </w:t>
            </w:r>
            <w:r w:rsidRPr="00265CC0">
              <w:rPr>
                <w:rFonts w:ascii="Times New Roman" w:hAnsi="Times New Roman" w:cs="Times New Roman"/>
                <w:sz w:val="24"/>
                <w:szCs w:val="24"/>
              </w:rPr>
              <w:t>или еквивалент) – 1 бр.</w:t>
            </w:r>
          </w:p>
        </w:tc>
      </w:tr>
      <w:tr w:rsidR="00265CC0" w:rsidRPr="00265CC0" w:rsidTr="000170A8">
        <w:trPr>
          <w:trHeight w:val="290"/>
        </w:trPr>
        <w:tc>
          <w:tcPr>
            <w:tcW w:w="10348" w:type="dxa"/>
          </w:tcPr>
          <w:p w:rsidR="000573A3" w:rsidRPr="00265CC0"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265CC0">
              <w:rPr>
                <w:rFonts w:ascii="Times New Roman" w:hAnsi="Times New Roman" w:cs="Times New Roman"/>
                <w:sz w:val="24"/>
                <w:szCs w:val="24"/>
              </w:rPr>
              <w:t>Да осигурява вакуум с налягане над 65 кРа.</w:t>
            </w:r>
          </w:p>
        </w:tc>
      </w:tr>
      <w:tr w:rsidR="00265CC0" w:rsidRPr="00265CC0" w:rsidTr="000170A8">
        <w:trPr>
          <w:trHeight w:val="283"/>
        </w:trPr>
        <w:tc>
          <w:tcPr>
            <w:tcW w:w="10348" w:type="dxa"/>
          </w:tcPr>
          <w:p w:rsidR="000573A3" w:rsidRPr="00265CC0" w:rsidRDefault="000573A3" w:rsidP="000573A3">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265CC0">
              <w:rPr>
                <w:rFonts w:ascii="Times New Roman" w:hAnsi="Times New Roman" w:cs="Times New Roman"/>
                <w:sz w:val="24"/>
                <w:szCs w:val="24"/>
              </w:rPr>
              <w:lastRenderedPageBreak/>
              <w:t>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за плавно регулиране на налягането и манометър. Аспирационният съд трябва да има гъвкав маркуч с накрайник</w:t>
            </w:r>
          </w:p>
        </w:tc>
      </w:tr>
      <w:tr w:rsidR="008664E9" w:rsidRPr="00F2030D" w:rsidTr="004E5F09">
        <w:trPr>
          <w:trHeight w:val="283"/>
        </w:trPr>
        <w:tc>
          <w:tcPr>
            <w:tcW w:w="10348" w:type="dxa"/>
          </w:tcPr>
          <w:p w:rsidR="008664E9" w:rsidRPr="00F2030D" w:rsidRDefault="008664E9"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F2030D">
              <w:rPr>
                <w:rFonts w:ascii="Times New Roman" w:hAnsi="Times New Roman" w:cs="Times New Roman"/>
                <w:sz w:val="24"/>
                <w:szCs w:val="24"/>
              </w:rPr>
              <w:t>На подходящо място в близост до носилката, трябва да е поставен превключвател за включване и изключване на аспирационната помпа.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Мобилна електрическа аспирационна помпа в шокоустойчив кожух.</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Електрическо захранване: AC 100-240 V, DC 12 V и от вградена батерия осигуряваща минимум </w:t>
            </w:r>
            <w:r>
              <w:rPr>
                <w:rFonts w:ascii="Times New Roman" w:hAnsi="Times New Roman" w:cs="Times New Roman"/>
                <w:sz w:val="24"/>
                <w:szCs w:val="24"/>
              </w:rPr>
              <w:t>60</w:t>
            </w:r>
            <w:r w:rsidRPr="00F2030D">
              <w:rPr>
                <w:rFonts w:ascii="Times New Roman" w:hAnsi="Times New Roman" w:cs="Times New Roman"/>
                <w:sz w:val="24"/>
                <w:szCs w:val="24"/>
              </w:rPr>
              <w:t xml:space="preserve"> минути автономна работа.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Регулиране на силата на вакуума в минимален обхват от 50 до 550 mmHg.</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 xml:space="preserve">Електронен индикатор за силата на вакуума. </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Ниво на шум: макс. 70 dB.</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Автоклавируем събирателен съд с вместимост мин. 1 литър.</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Директна връзка между вакуум устройството и събирателния съд.</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Тегло макс. 3 кг.</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F2030D">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Транспортен респиратор</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152BC4">
            <w:pPr>
              <w:pStyle w:val="ListParagraph"/>
              <w:numPr>
                <w:ilvl w:val="0"/>
                <w:numId w:val="48"/>
              </w:numPr>
              <w:tabs>
                <w:tab w:val="left" w:pos="60"/>
              </w:tabs>
              <w:spacing w:before="0" w:line="20" w:lineRule="atLeast"/>
              <w:rPr>
                <w:rFonts w:ascii="Times New Roman" w:hAnsi="Times New Roman" w:cs="Times New Roman"/>
                <w:sz w:val="24"/>
                <w:szCs w:val="24"/>
              </w:rPr>
            </w:pPr>
            <w:r w:rsidRPr="00F2030D">
              <w:rPr>
                <w:rFonts w:ascii="Times New Roman" w:hAnsi="Times New Roman" w:cs="Times New Roman"/>
                <w:sz w:val="24"/>
                <w:szCs w:val="24"/>
              </w:rPr>
              <w:t xml:space="preserve">Минимално изискуеми режими на вентилация: </w:t>
            </w:r>
            <w:r w:rsidRPr="00A85D9D">
              <w:rPr>
                <w:rFonts w:ascii="Times New Roman" w:hAnsi="Times New Roman" w:cs="Times New Roman"/>
                <w:sz w:val="24"/>
                <w:szCs w:val="24"/>
              </w:rPr>
              <w:t>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r w:rsidRPr="00F2030D">
              <w:rPr>
                <w:rFonts w:ascii="Times New Roman" w:hAnsi="Times New Roman" w:cs="Times New Roman"/>
                <w:sz w:val="24"/>
                <w:szCs w:val="24"/>
              </w:rPr>
              <w:t>.</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Минутен обем в минимален обхват от 2 до 20 л/мин.</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Дихателна честота в минимален обхват от 5-40 bpm.</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Кислородна концентрация в инспираторния газ: 100% или 60%.</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Вградена акумулаторна батерия за минимум 3 часа автономна работа.</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Тегло: под 5 кг.</w:t>
            </w:r>
          </w:p>
        </w:tc>
      </w:tr>
      <w:tr w:rsidR="008664E9" w:rsidRPr="00F2030D"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F2030D">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8664E9" w:rsidRDefault="008664E9" w:rsidP="008664E9">
      <w:pPr>
        <w:spacing w:before="0" w:line="20" w:lineRule="atLeast"/>
        <w:rPr>
          <w:rFonts w:ascii="Times New Roman" w:hAnsi="Times New Roman" w:cs="Times New Roman"/>
          <w:sz w:val="24"/>
          <w:szCs w:val="24"/>
        </w:rPr>
      </w:pPr>
    </w:p>
    <w:p w:rsidR="007B4184" w:rsidRDefault="007B4184" w:rsidP="008664E9">
      <w:pPr>
        <w:spacing w:before="0" w:line="20" w:lineRule="atLeast"/>
        <w:rPr>
          <w:rFonts w:ascii="Times New Roman" w:hAnsi="Times New Roman" w:cs="Times New Roman"/>
          <w:sz w:val="24"/>
          <w:szCs w:val="24"/>
        </w:rPr>
      </w:pPr>
    </w:p>
    <w:p w:rsidR="007B4184" w:rsidRPr="00F2030D" w:rsidRDefault="007B4184" w:rsidP="008664E9">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70"/>
        </w:trPr>
        <w:tc>
          <w:tcPr>
            <w:tcW w:w="10348" w:type="dxa"/>
          </w:tcPr>
          <w:p w:rsidR="008664E9" w:rsidRPr="00F2030D" w:rsidRDefault="008664E9" w:rsidP="004E5F09">
            <w:pPr>
              <w:tabs>
                <w:tab w:val="right" w:pos="361"/>
              </w:tabs>
              <w:spacing w:before="0" w:line="20" w:lineRule="atLeast"/>
              <w:rPr>
                <w:rFonts w:ascii="Times New Roman" w:hAnsi="Times New Roman" w:cs="Times New Roman"/>
                <w:b/>
                <w:bCs/>
                <w:sz w:val="24"/>
                <w:szCs w:val="24"/>
              </w:rPr>
            </w:pPr>
            <w:r w:rsidRPr="00F2030D">
              <w:rPr>
                <w:rFonts w:ascii="Times New Roman" w:hAnsi="Times New Roman" w:cs="Times New Roman"/>
                <w:b/>
                <w:bCs/>
                <w:sz w:val="24"/>
                <w:szCs w:val="24"/>
              </w:rPr>
              <w:t>Медицинска апаратура</w:t>
            </w:r>
          </w:p>
        </w:tc>
      </w:tr>
    </w:tbl>
    <w:p w:rsidR="008664E9" w:rsidRPr="00F2030D" w:rsidRDefault="008664E9" w:rsidP="008664E9">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200"/>
        </w:trPr>
        <w:tc>
          <w:tcPr>
            <w:tcW w:w="10348" w:type="dxa"/>
          </w:tcPr>
          <w:bookmarkEnd w:id="2"/>
          <w:p w:rsidR="008664E9" w:rsidRPr="00F2030D" w:rsidRDefault="008664E9"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F2030D">
              <w:rPr>
                <w:rFonts w:ascii="Times New Roman" w:hAnsi="Times New Roman" w:cs="Times New Roman"/>
                <w:b/>
                <w:sz w:val="24"/>
                <w:szCs w:val="24"/>
              </w:rPr>
              <w:t xml:space="preserve">Оборудване за инфузии (БДС EN 1789:2007+A2:2014 </w:t>
            </w:r>
            <w:r w:rsidRPr="00F2030D">
              <w:rPr>
                <w:rFonts w:ascii="Times New Roman" w:hAnsi="Times New Roman" w:cs="Times New Roman"/>
                <w:sz w:val="24"/>
                <w:szCs w:val="24"/>
              </w:rPr>
              <w:t>или еквивалент)</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spacing w:before="0" w:line="20" w:lineRule="atLeast"/>
              <w:ind w:left="502"/>
              <w:rPr>
                <w:rFonts w:ascii="Times New Roman" w:hAnsi="Times New Roman" w:cs="Times New Roman"/>
                <w:sz w:val="24"/>
                <w:szCs w:val="24"/>
              </w:rPr>
            </w:pPr>
            <w:bookmarkStart w:id="3" w:name="_Toc462664203"/>
            <w:r w:rsidRPr="00F2030D">
              <w:rPr>
                <w:rFonts w:ascii="Times New Roman" w:hAnsi="Times New Roman" w:cs="Times New Roman"/>
                <w:sz w:val="24"/>
                <w:szCs w:val="24"/>
              </w:rPr>
              <w:lastRenderedPageBreak/>
              <w:t>Спринцовкова инфузионна помпа:</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Съвместима за работа със спринцовки минимум 10, 20, 30, 50 и 60 мл.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Автоматично разпознаване на големината на спринцовката.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Минимално изискуеми режими на инфузия: по зададена скорост, по зададено време, по зададено тегло на пациента.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Обхват на задаван и акумулиран обем на инфузия: мин. 0,1 – 9999 мл.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Възможност за мануална болус инфузия.</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Функции „отворена вена” (KVO)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 xml:space="preserve">Наличие на различни нива на чувствителност на оклузията.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Да има вградена библиотека за медикаменти.</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Да има памет за параметрите на последната проведената инфузия. </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Дисплей с </w:t>
            </w:r>
            <w:r>
              <w:rPr>
                <w:rFonts w:ascii="Times New Roman" w:hAnsi="Times New Roman" w:cs="Times New Roman"/>
                <w:sz w:val="24"/>
                <w:szCs w:val="24"/>
              </w:rPr>
              <w:t>подсветка</w:t>
            </w:r>
            <w:r w:rsidRPr="00F2030D">
              <w:rPr>
                <w:rFonts w:ascii="Times New Roman" w:hAnsi="Times New Roman" w:cs="Times New Roman"/>
                <w:sz w:val="24"/>
                <w:szCs w:val="24"/>
              </w:rPr>
              <w:t>.</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 xml:space="preserve">Електрическо захранване от </w:t>
            </w:r>
            <w:r w:rsidRPr="00A85D9D">
              <w:rPr>
                <w:rFonts w:ascii="Times New Roman" w:hAnsi="Times New Roman" w:cs="Times New Roman"/>
                <w:sz w:val="24"/>
                <w:szCs w:val="24"/>
              </w:rPr>
              <w:t xml:space="preserve">DC 12V </w:t>
            </w:r>
            <w:r w:rsidRPr="00F2030D">
              <w:rPr>
                <w:rFonts w:ascii="Times New Roman" w:hAnsi="Times New Roman" w:cs="Times New Roman"/>
                <w:sz w:val="24"/>
                <w:szCs w:val="24"/>
              </w:rPr>
              <w:t>и от вградено акумулаторно за минимум 4 часа автономна работа.</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Тегло: не повече от 2,5 кг.</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8664E9" w:rsidRPr="00F2030D" w:rsidRDefault="008664E9" w:rsidP="004E5F09">
            <w:pPr>
              <w:pStyle w:val="ListParagraph"/>
              <w:spacing w:before="0" w:line="20" w:lineRule="atLeast"/>
              <w:ind w:left="0"/>
              <w:rPr>
                <w:rFonts w:ascii="Times New Roman" w:hAnsi="Times New Roman" w:cs="Times New Roman"/>
                <w:sz w:val="24"/>
                <w:szCs w:val="24"/>
              </w:rPr>
            </w:pPr>
            <w:r w:rsidRPr="00F2030D">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8664E9" w:rsidRPr="00F2030D"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8664E9">
            <w:pPr>
              <w:pStyle w:val="ListParagraph"/>
              <w:numPr>
                <w:ilvl w:val="1"/>
                <w:numId w:val="47"/>
              </w:numPr>
              <w:spacing w:before="0" w:line="20" w:lineRule="atLeast"/>
              <w:ind w:left="502"/>
              <w:rPr>
                <w:rFonts w:ascii="Times New Roman" w:hAnsi="Times New Roman" w:cs="Times New Roman"/>
                <w:sz w:val="24"/>
                <w:szCs w:val="24"/>
              </w:rPr>
            </w:pPr>
            <w:r w:rsidRPr="00F2030D">
              <w:rPr>
                <w:rFonts w:ascii="Times New Roman" w:hAnsi="Times New Roman" w:cs="Times New Roman"/>
                <w:sz w:val="24"/>
                <w:szCs w:val="24"/>
              </w:rPr>
              <w:t xml:space="preserve"> Стойка за инфузия – 2 бр.</w:t>
            </w:r>
          </w:p>
        </w:tc>
      </w:tr>
    </w:tbl>
    <w:p w:rsidR="008664E9" w:rsidRPr="00F2030D" w:rsidRDefault="008664E9" w:rsidP="008664E9">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8664E9" w:rsidRPr="00F2030D" w:rsidTr="004E5F09">
        <w:trPr>
          <w:trHeight w:val="328"/>
        </w:trPr>
        <w:tc>
          <w:tcPr>
            <w:tcW w:w="10348" w:type="dxa"/>
          </w:tcPr>
          <w:bookmarkEnd w:id="3"/>
          <w:p w:rsidR="008664E9" w:rsidRPr="00F2030D" w:rsidRDefault="008664E9"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b/>
                <w:sz w:val="24"/>
                <w:szCs w:val="24"/>
              </w:rPr>
              <w:t>Оборудване за мениджмънт на животозастрашаващи състояния (БДС EN 1789:2007+A2:2014)</w:t>
            </w:r>
            <w:r w:rsidRPr="00F2030D">
              <w:rPr>
                <w:rFonts w:ascii="Times New Roman" w:hAnsi="Times New Roman" w:cs="Times New Roman"/>
                <w:sz w:val="24"/>
                <w:szCs w:val="24"/>
              </w:rPr>
              <w:t xml:space="preserve"> (или еквивалент)</w:t>
            </w:r>
          </w:p>
        </w:tc>
      </w:tr>
      <w:tr w:rsidR="008664E9" w:rsidRPr="00F2030D" w:rsidTr="004E5F09">
        <w:trPr>
          <w:trHeight w:val="328"/>
        </w:trPr>
        <w:tc>
          <w:tcPr>
            <w:tcW w:w="10348" w:type="dxa"/>
            <w:tcBorders>
              <w:bottom w:val="single" w:sz="4" w:space="0" w:color="auto"/>
            </w:tcBorders>
          </w:tcPr>
          <w:p w:rsidR="008664E9" w:rsidRPr="00F2030D" w:rsidRDefault="008664E9"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F2030D">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8664E9" w:rsidRPr="00F2030D" w:rsidTr="004E5F09">
        <w:trPr>
          <w:trHeight w:val="328"/>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Асинхронна и синхронизирана мануална дефибрилация.</w:t>
            </w:r>
          </w:p>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Външен пейсинг.</w:t>
            </w:r>
          </w:p>
          <w:p w:rsidR="008664E9"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ab/>
              <w:t>Пациентен мониторинг.</w:t>
            </w:r>
          </w:p>
          <w:p w:rsidR="008664E9" w:rsidRPr="00F2030D" w:rsidRDefault="008664E9" w:rsidP="004E5F09">
            <w:pPr>
              <w:tabs>
                <w:tab w:val="right" w:pos="361"/>
              </w:tabs>
              <w:spacing w:before="0"/>
              <w:rPr>
                <w:rFonts w:ascii="Times New Roman" w:hAnsi="Times New Roman" w:cs="Times New Roman"/>
                <w:sz w:val="24"/>
                <w:szCs w:val="24"/>
              </w:rPr>
            </w:pPr>
            <w:r w:rsidRPr="00A85D9D">
              <w:rPr>
                <w:rFonts w:ascii="Times New Roman" w:hAnsi="Times New Roman" w:cs="Times New Roman"/>
                <w:sz w:val="24"/>
                <w:szCs w:val="24"/>
              </w:rPr>
              <w:t>12 канално диагностично ЕКГ</w:t>
            </w:r>
          </w:p>
        </w:tc>
      </w:tr>
      <w:tr w:rsidR="008664E9" w:rsidRPr="00F2030D" w:rsidTr="004E5F09">
        <w:trPr>
          <w:trHeight w:val="135"/>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8664E9" w:rsidRPr="00F2030D" w:rsidTr="004E5F09">
        <w:trPr>
          <w:trHeight w:val="125"/>
        </w:trPr>
        <w:tc>
          <w:tcPr>
            <w:tcW w:w="10348" w:type="dxa"/>
          </w:tcPr>
          <w:p w:rsidR="008664E9" w:rsidRPr="00F2030D" w:rsidRDefault="00DE372A" w:rsidP="004E5F09">
            <w:pPr>
              <w:tabs>
                <w:tab w:val="right" w:pos="361"/>
              </w:tabs>
              <w:spacing w:before="0"/>
              <w:rPr>
                <w:rFonts w:ascii="Times New Roman" w:hAnsi="Times New Roman" w:cs="Times New Roman"/>
                <w:sz w:val="24"/>
                <w:szCs w:val="24"/>
              </w:rPr>
            </w:pPr>
            <w:r w:rsidRPr="00B9522A">
              <w:rPr>
                <w:rFonts w:ascii="Times New Roman" w:hAnsi="Times New Roman" w:cs="Times New Roman"/>
                <w:bCs/>
                <w:sz w:val="24"/>
                <w:szCs w:val="24"/>
              </w:rPr>
              <w:t>Да осигурява възможност за дефибрилаторни шокове с максимална енергия 200 или повече Джаула.</w:t>
            </w:r>
          </w:p>
        </w:tc>
      </w:tr>
      <w:tr w:rsidR="008664E9" w:rsidRPr="00F2030D" w:rsidTr="004E5F09">
        <w:trPr>
          <w:trHeight w:val="607"/>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Времето </w:t>
            </w:r>
            <w:r w:rsidRPr="00741B35">
              <w:rPr>
                <w:rFonts w:ascii="Times New Roman" w:hAnsi="Times New Roman" w:cs="Times New Roman"/>
                <w:sz w:val="24"/>
                <w:szCs w:val="24"/>
              </w:rPr>
              <w:t xml:space="preserve">за зареждане </w:t>
            </w:r>
            <w:r w:rsidRPr="00F2030D">
              <w:rPr>
                <w:rFonts w:ascii="Times New Roman" w:hAnsi="Times New Roman" w:cs="Times New Roman"/>
                <w:sz w:val="24"/>
                <w:szCs w:val="24"/>
              </w:rPr>
              <w:t xml:space="preserve">на апарата с енергия 200 Джаула да е не по-голямо от 6 секунди, </w:t>
            </w:r>
          </w:p>
        </w:tc>
      </w:tr>
      <w:tr w:rsidR="008664E9" w:rsidRPr="00F2030D" w:rsidTr="004E5F09">
        <w:trPr>
          <w:trHeight w:val="286"/>
        </w:trPr>
        <w:tc>
          <w:tcPr>
            <w:tcW w:w="10348" w:type="dxa"/>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t xml:space="preserve"> </w:t>
            </w:r>
            <w:r w:rsidRPr="00741B35">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Неинвазивен пейсинг с режими „поиск“ и „фиксиран“.</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Цветен дисплей с диагонал на екрана мин. 7“ с дневен и нощен режим..</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 xml:space="preserve">Мониторирани параметри: </w:t>
            </w:r>
            <w:r>
              <w:rPr>
                <w:rFonts w:ascii="Times New Roman" w:hAnsi="Times New Roman" w:cs="Times New Roman"/>
                <w:sz w:val="24"/>
                <w:szCs w:val="24"/>
              </w:rPr>
              <w:t>12 канално</w:t>
            </w:r>
            <w:r w:rsidRPr="00F2030D">
              <w:rPr>
                <w:rFonts w:ascii="Times New Roman" w:hAnsi="Times New Roman" w:cs="Times New Roman"/>
                <w:sz w:val="24"/>
                <w:szCs w:val="24"/>
              </w:rPr>
              <w:t xml:space="preserve"> ЕКГ, сърдечна честота, пулсова оксиметрия (сатурация, периферен пулс, плетизмограма), неинвазивно кръвно налягане.</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lastRenderedPageBreak/>
              <w:t>Вградена памет за запис, съхранение и последващо възпроизвеждане на всички мониторирани параметри</w:t>
            </w:r>
            <w:r>
              <w:rPr>
                <w:rFonts w:ascii="Times New Roman" w:hAnsi="Times New Roman" w:cs="Times New Roman"/>
                <w:sz w:val="24"/>
                <w:szCs w:val="24"/>
              </w:rPr>
              <w:t>,</w:t>
            </w:r>
            <w:r>
              <w:t xml:space="preserve"> </w:t>
            </w:r>
            <w:r w:rsidRPr="00741B35">
              <w:rPr>
                <w:rFonts w:ascii="Times New Roman" w:hAnsi="Times New Roman" w:cs="Times New Roman"/>
                <w:sz w:val="24"/>
                <w:szCs w:val="24"/>
              </w:rPr>
              <w:t>име и данни на пациента, диагностични ЕКГ записи, аларми</w:t>
            </w:r>
            <w:r w:rsidRPr="00F2030D">
              <w:rPr>
                <w:rFonts w:ascii="Times New Roman" w:hAnsi="Times New Roman" w:cs="Times New Roman"/>
                <w:sz w:val="24"/>
                <w:szCs w:val="24"/>
              </w:rPr>
              <w:t>.</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0"/>
              <w:rPr>
                <w:rFonts w:ascii="Times New Roman" w:hAnsi="Times New Roman" w:cs="Times New Roman"/>
                <w:sz w:val="24"/>
                <w:szCs w:val="24"/>
              </w:rPr>
            </w:pPr>
            <w:r w:rsidRPr="00F2030D">
              <w:rPr>
                <w:rFonts w:ascii="Times New Roman" w:hAnsi="Times New Roman" w:cs="Times New Roman"/>
                <w:sz w:val="24"/>
                <w:szCs w:val="24"/>
              </w:rPr>
              <w:t>Вграден термопринтер за печат на вълнови графики в реално време, стопирани (замразени) графики и тренд записи</w:t>
            </w:r>
            <w:r>
              <w:rPr>
                <w:rFonts w:ascii="Times New Roman" w:hAnsi="Times New Roman" w:cs="Times New Roman"/>
                <w:sz w:val="24"/>
                <w:szCs w:val="24"/>
              </w:rPr>
              <w:t xml:space="preserve">, който </w:t>
            </w:r>
            <w:r w:rsidRPr="00F2030D">
              <w:rPr>
                <w:rFonts w:ascii="Times New Roman" w:hAnsi="Times New Roman" w:cs="Times New Roman"/>
                <w:sz w:val="24"/>
                <w:szCs w:val="24"/>
              </w:rPr>
              <w:t xml:space="preserve"> </w:t>
            </w:r>
            <w:r>
              <w:rPr>
                <w:rFonts w:ascii="Times New Roman" w:hAnsi="Times New Roman" w:cs="Times New Roman"/>
                <w:sz w:val="24"/>
                <w:szCs w:val="24"/>
              </w:rPr>
              <w:t>д</w:t>
            </w:r>
            <w:r w:rsidRPr="00F2030D">
              <w:rPr>
                <w:rFonts w:ascii="Times New Roman" w:hAnsi="Times New Roman" w:cs="Times New Roman"/>
                <w:sz w:val="24"/>
                <w:szCs w:val="24"/>
              </w:rPr>
              <w:t xml:space="preserve">а осигурява възможност за автоматичен печат </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60"/>
              <w:rPr>
                <w:rFonts w:ascii="Times New Roman" w:hAnsi="Times New Roman" w:cs="Times New Roman"/>
                <w:sz w:val="24"/>
                <w:szCs w:val="24"/>
              </w:rPr>
            </w:pPr>
            <w:r w:rsidRPr="00F2030D">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35520D" w:rsidP="004E5F09">
            <w:r w:rsidRPr="00B9522A">
              <w:rPr>
                <w:rFonts w:ascii="Times New Roman" w:hAnsi="Times New Roman" w:cs="Times New Roman"/>
                <w:bCs/>
                <w:sz w:val="24"/>
                <w:szCs w:val="24"/>
              </w:rPr>
              <w:t>Р</w:t>
            </w:r>
            <w:r w:rsidR="00AE3E1F" w:rsidRPr="00B9522A">
              <w:rPr>
                <w:rFonts w:ascii="Times New Roman" w:hAnsi="Times New Roman" w:cs="Times New Roman"/>
                <w:bCs/>
                <w:sz w:val="24"/>
                <w:szCs w:val="24"/>
              </w:rPr>
              <w:t>абота както на батерия, така и на захранване 12</w:t>
            </w:r>
            <w:r w:rsidR="00AE3E1F" w:rsidRPr="00B9522A">
              <w:rPr>
                <w:rFonts w:ascii="Times New Roman" w:hAnsi="Times New Roman" w:cs="Times New Roman"/>
                <w:bCs/>
                <w:sz w:val="24"/>
                <w:szCs w:val="24"/>
                <w:lang w:val="en-US"/>
              </w:rPr>
              <w:t>V</w:t>
            </w:r>
            <w:r w:rsidR="00AE3E1F" w:rsidRPr="00B9522A">
              <w:rPr>
                <w:rFonts w:ascii="Times New Roman" w:hAnsi="Times New Roman" w:cs="Times New Roman"/>
                <w:bCs/>
                <w:sz w:val="24"/>
                <w:szCs w:val="24"/>
              </w:rPr>
              <w:t xml:space="preserve"> DC. Следва да бъде осигурено и захранване от мрежа 220</w:t>
            </w:r>
            <w:r w:rsidR="00AE3E1F" w:rsidRPr="00B9522A">
              <w:rPr>
                <w:rFonts w:ascii="Times New Roman" w:hAnsi="Times New Roman" w:cs="Times New Roman"/>
                <w:bCs/>
                <w:sz w:val="24"/>
                <w:szCs w:val="24"/>
                <w:lang w:val="en-US"/>
              </w:rPr>
              <w:t xml:space="preserve">V </w:t>
            </w:r>
            <w:r w:rsidR="00AE3E1F" w:rsidRPr="00B9522A">
              <w:rPr>
                <w:rFonts w:ascii="Times New Roman" w:hAnsi="Times New Roman" w:cs="Times New Roman"/>
                <w:bCs/>
                <w:sz w:val="24"/>
                <w:szCs w:val="24"/>
              </w:rPr>
              <w:t>АС, посредством вградено в апарата или допълнително устройство. Батерията/ите и всички принадлежности необходими за пълното функциониране на апарата следва да бъдат доставени с него</w:t>
            </w:r>
          </w:p>
        </w:tc>
      </w:tr>
      <w:tr w:rsidR="008664E9" w:rsidRPr="00F2030D"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8664E9" w:rsidRPr="00F2030D" w:rsidRDefault="008664E9" w:rsidP="004E5F09">
            <w:pPr>
              <w:tabs>
                <w:tab w:val="right" w:pos="361"/>
              </w:tabs>
              <w:spacing w:before="60"/>
              <w:rPr>
                <w:rFonts w:ascii="Times New Roman" w:hAnsi="Times New Roman" w:cs="Times New Roman"/>
                <w:b/>
                <w:sz w:val="24"/>
                <w:szCs w:val="24"/>
              </w:rPr>
            </w:pPr>
            <w:r w:rsidRPr="00F2030D">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bookmarkEnd w:id="1"/>
    </w:tbl>
    <w:p w:rsidR="0091092F" w:rsidRDefault="0091092F" w:rsidP="008664E9">
      <w:pPr>
        <w:pStyle w:val="Caption"/>
        <w:spacing w:before="0" w:after="0" w:line="20" w:lineRule="atLeast"/>
        <w:ind w:left="360"/>
        <w:rPr>
          <w:rFonts w:ascii="Times New Roman" w:hAnsi="Times New Roman" w:cs="Times New Roman"/>
          <w:i w:val="0"/>
          <w:color w:val="auto"/>
          <w:sz w:val="24"/>
          <w:szCs w:val="24"/>
        </w:rPr>
      </w:pPr>
    </w:p>
    <w:p w:rsidR="008664E9" w:rsidRPr="008664E9" w:rsidRDefault="008664E9" w:rsidP="008664E9">
      <w:pPr>
        <w:pStyle w:val="ListParagraph"/>
        <w:numPr>
          <w:ilvl w:val="0"/>
          <w:numId w:val="47"/>
        </w:numPr>
      </w:pPr>
      <w:r w:rsidRPr="008664E9">
        <w:rPr>
          <w:rFonts w:ascii="Times New Roman" w:hAnsi="Times New Roman" w:cs="Times New Roman"/>
          <w:b/>
          <w:sz w:val="24"/>
          <w:szCs w:val="24"/>
        </w:rPr>
        <w:t>Комуникация (БДС EN 1789:2007+A2:2014)</w:t>
      </w:r>
      <w:r w:rsidRPr="008664E9">
        <w:rPr>
          <w:rFonts w:ascii="Times New Roman" w:hAnsi="Times New Roman" w:cs="Times New Roman"/>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65CC0" w:rsidRPr="00265CC0" w:rsidTr="00014B7B">
        <w:trPr>
          <w:trHeight w:val="291"/>
        </w:trPr>
        <w:tc>
          <w:tcPr>
            <w:tcW w:w="10348" w:type="dxa"/>
          </w:tcPr>
          <w:p w:rsidR="0091092F" w:rsidRPr="00265CC0" w:rsidRDefault="0091092F" w:rsidP="00630676">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265CC0">
              <w:rPr>
                <w:rFonts w:ascii="Times New Roman" w:hAnsi="Times New Roman" w:cs="Times New Roman"/>
                <w:sz w:val="24"/>
                <w:szCs w:val="24"/>
              </w:rPr>
              <w:t xml:space="preserve">Интерком между шофьора и </w:t>
            </w:r>
            <w:r w:rsidR="000D043B" w:rsidRPr="00265CC0">
              <w:rPr>
                <w:rFonts w:ascii="Times New Roman" w:hAnsi="Times New Roman" w:cs="Times New Roman"/>
                <w:sz w:val="24"/>
                <w:szCs w:val="24"/>
              </w:rPr>
              <w:t xml:space="preserve">санитарното отделение </w:t>
            </w:r>
            <w:r w:rsidRPr="00265CC0">
              <w:rPr>
                <w:rFonts w:ascii="Times New Roman" w:hAnsi="Times New Roman" w:cs="Times New Roman"/>
                <w:sz w:val="24"/>
                <w:szCs w:val="24"/>
              </w:rPr>
              <w:t>– 1 бр.</w:t>
            </w:r>
          </w:p>
        </w:tc>
      </w:tr>
    </w:tbl>
    <w:p w:rsidR="0091092F" w:rsidRPr="00265CC0" w:rsidRDefault="0091092F" w:rsidP="003F332B">
      <w:pPr>
        <w:spacing w:before="0" w:line="20" w:lineRule="atLeast"/>
        <w:rPr>
          <w:rFonts w:ascii="Times New Roman" w:hAnsi="Times New Roman" w:cs="Times New Roman"/>
          <w:sz w:val="24"/>
          <w:szCs w:val="24"/>
        </w:rPr>
      </w:pPr>
    </w:p>
    <w:p w:rsidR="00DA3CD3" w:rsidRPr="003F332B" w:rsidRDefault="00014B7B" w:rsidP="003F332B">
      <w:pPr>
        <w:spacing w:before="0" w:line="20" w:lineRule="atLeast"/>
        <w:rPr>
          <w:rFonts w:ascii="Times New Roman" w:eastAsiaTheme="minorHAnsi" w:hAnsi="Times New Roman" w:cs="Times New Roman"/>
          <w:sz w:val="24"/>
          <w:szCs w:val="24"/>
        </w:rPr>
      </w:pPr>
      <w:r w:rsidRPr="007B4184">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7B4184">
        <w:rPr>
          <w:rFonts w:ascii="Verdana" w:hAnsi="Verdana"/>
        </w:rPr>
        <w:t xml:space="preserve"> </w:t>
      </w:r>
      <w:r w:rsidRPr="007B4184">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A1" w:rsidRDefault="007E10A1" w:rsidP="00B05CF0">
      <w:r>
        <w:separator/>
      </w:r>
    </w:p>
  </w:endnote>
  <w:endnote w:type="continuationSeparator" w:id="0">
    <w:p w:rsidR="007E10A1" w:rsidRDefault="007E10A1"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9B4A24">
            <w:rPr>
              <w:noProof/>
            </w:rPr>
            <w:t>2</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9B4A24">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A1" w:rsidRDefault="007E10A1" w:rsidP="00B05CF0">
      <w:r>
        <w:separator/>
      </w:r>
    </w:p>
  </w:footnote>
  <w:footnote w:type="continuationSeparator" w:id="0">
    <w:p w:rsidR="007E10A1" w:rsidRDefault="007E10A1"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DFC3105"/>
    <w:multiLevelType w:val="multilevel"/>
    <w:tmpl w:val="6D98E9F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7FAA609E"/>
    <w:multiLevelType w:val="multilevel"/>
    <w:tmpl w:val="06622F94"/>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6"/>
  </w:num>
  <w:num w:numId="3">
    <w:abstractNumId w:val="1"/>
  </w:num>
  <w:num w:numId="4">
    <w:abstractNumId w:val="5"/>
  </w:num>
  <w:num w:numId="5">
    <w:abstractNumId w:val="4"/>
  </w:num>
  <w:num w:numId="6">
    <w:abstractNumId w:val="15"/>
  </w:num>
  <w:num w:numId="7">
    <w:abstractNumId w:val="19"/>
  </w:num>
  <w:num w:numId="8">
    <w:abstractNumId w:val="11"/>
  </w:num>
  <w:num w:numId="9">
    <w:abstractNumId w:val="23"/>
  </w:num>
  <w:num w:numId="10">
    <w:abstractNumId w:val="8"/>
  </w:num>
  <w:num w:numId="11">
    <w:abstractNumId w:val="0"/>
  </w:num>
  <w:num w:numId="12">
    <w:abstractNumId w:val="10"/>
  </w:num>
  <w:num w:numId="13">
    <w:abstractNumId w:val="12"/>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2"/>
  </w:num>
  <w:num w:numId="21">
    <w:abstractNumId w:val="19"/>
  </w:num>
  <w:num w:numId="22">
    <w:abstractNumId w:val="19"/>
  </w:num>
  <w:num w:numId="23">
    <w:abstractNumId w:val="19"/>
  </w:num>
  <w:num w:numId="24">
    <w:abstractNumId w:val="19"/>
  </w:num>
  <w:num w:numId="25">
    <w:abstractNumId w:val="19"/>
  </w:num>
  <w:num w:numId="26">
    <w:abstractNumId w:val="12"/>
  </w:num>
  <w:num w:numId="27">
    <w:abstractNumId w:val="19"/>
  </w:num>
  <w:num w:numId="28">
    <w:abstractNumId w:val="19"/>
  </w:num>
  <w:num w:numId="29">
    <w:abstractNumId w:val="19"/>
  </w:num>
  <w:num w:numId="30">
    <w:abstractNumId w:val="12"/>
  </w:num>
  <w:num w:numId="31">
    <w:abstractNumId w:val="19"/>
  </w:num>
  <w:num w:numId="32">
    <w:abstractNumId w:val="19"/>
  </w:num>
  <w:num w:numId="33">
    <w:abstractNumId w:val="23"/>
  </w:num>
  <w:num w:numId="34">
    <w:abstractNumId w:val="10"/>
  </w:num>
  <w:num w:numId="35">
    <w:abstractNumId w:val="19"/>
  </w:num>
  <w:num w:numId="36">
    <w:abstractNumId w:val="7"/>
  </w:num>
  <w:num w:numId="37">
    <w:abstractNumId w:val="3"/>
  </w:num>
  <w:num w:numId="38">
    <w:abstractNumId w:val="19"/>
  </w:num>
  <w:num w:numId="39">
    <w:abstractNumId w:val="21"/>
  </w:num>
  <w:num w:numId="40">
    <w:abstractNumId w:val="13"/>
  </w:num>
  <w:num w:numId="41">
    <w:abstractNumId w:val="9"/>
  </w:num>
  <w:num w:numId="42">
    <w:abstractNumId w:val="17"/>
  </w:num>
  <w:num w:numId="43">
    <w:abstractNumId w:val="18"/>
  </w:num>
  <w:num w:numId="44">
    <w:abstractNumId w:val="14"/>
  </w:num>
  <w:num w:numId="45">
    <w:abstractNumId w:val="22"/>
  </w:num>
  <w:num w:numId="46">
    <w:abstractNumId w:val="20"/>
  </w:num>
  <w:num w:numId="47">
    <w:abstractNumId w:val="2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54E"/>
    <w:rsid w:val="00014B7B"/>
    <w:rsid w:val="000150C8"/>
    <w:rsid w:val="000303B0"/>
    <w:rsid w:val="00030FDB"/>
    <w:rsid w:val="0003306C"/>
    <w:rsid w:val="00034C0E"/>
    <w:rsid w:val="00034D65"/>
    <w:rsid w:val="000357EA"/>
    <w:rsid w:val="00040E4C"/>
    <w:rsid w:val="00042B78"/>
    <w:rsid w:val="00047DDE"/>
    <w:rsid w:val="000573A3"/>
    <w:rsid w:val="000604CF"/>
    <w:rsid w:val="00060FB9"/>
    <w:rsid w:val="000648CF"/>
    <w:rsid w:val="00065471"/>
    <w:rsid w:val="00065D1D"/>
    <w:rsid w:val="00065EA6"/>
    <w:rsid w:val="0006633D"/>
    <w:rsid w:val="000865B5"/>
    <w:rsid w:val="00090983"/>
    <w:rsid w:val="0009140F"/>
    <w:rsid w:val="00092410"/>
    <w:rsid w:val="00093420"/>
    <w:rsid w:val="00093EC7"/>
    <w:rsid w:val="000955A5"/>
    <w:rsid w:val="000A6EA8"/>
    <w:rsid w:val="000B7A0C"/>
    <w:rsid w:val="000C087F"/>
    <w:rsid w:val="000C3FA9"/>
    <w:rsid w:val="000D043B"/>
    <w:rsid w:val="000D044F"/>
    <w:rsid w:val="000D5964"/>
    <w:rsid w:val="000E3949"/>
    <w:rsid w:val="000E70AF"/>
    <w:rsid w:val="000F1A76"/>
    <w:rsid w:val="000F344A"/>
    <w:rsid w:val="000F6FC1"/>
    <w:rsid w:val="000F7390"/>
    <w:rsid w:val="001000E4"/>
    <w:rsid w:val="00101460"/>
    <w:rsid w:val="00101AAD"/>
    <w:rsid w:val="00105A86"/>
    <w:rsid w:val="00117F6B"/>
    <w:rsid w:val="001202FB"/>
    <w:rsid w:val="00127AB7"/>
    <w:rsid w:val="00131D23"/>
    <w:rsid w:val="00133B79"/>
    <w:rsid w:val="00140E0B"/>
    <w:rsid w:val="001450D2"/>
    <w:rsid w:val="00150CF7"/>
    <w:rsid w:val="00152BC4"/>
    <w:rsid w:val="00175EFC"/>
    <w:rsid w:val="00180050"/>
    <w:rsid w:val="001816C3"/>
    <w:rsid w:val="00181D02"/>
    <w:rsid w:val="00182C62"/>
    <w:rsid w:val="00186576"/>
    <w:rsid w:val="001A614F"/>
    <w:rsid w:val="001B1A30"/>
    <w:rsid w:val="001B286D"/>
    <w:rsid w:val="001C07AE"/>
    <w:rsid w:val="001C07C9"/>
    <w:rsid w:val="001C09CE"/>
    <w:rsid w:val="001C2874"/>
    <w:rsid w:val="001C64D5"/>
    <w:rsid w:val="001C78AB"/>
    <w:rsid w:val="001D1C3D"/>
    <w:rsid w:val="001D3338"/>
    <w:rsid w:val="001E05BE"/>
    <w:rsid w:val="001E4A9A"/>
    <w:rsid w:val="001E58DA"/>
    <w:rsid w:val="001E777D"/>
    <w:rsid w:val="001E786C"/>
    <w:rsid w:val="001E7EF1"/>
    <w:rsid w:val="001F3482"/>
    <w:rsid w:val="001F77A6"/>
    <w:rsid w:val="00202769"/>
    <w:rsid w:val="002250B2"/>
    <w:rsid w:val="00225885"/>
    <w:rsid w:val="002258BC"/>
    <w:rsid w:val="002312DF"/>
    <w:rsid w:val="002342B9"/>
    <w:rsid w:val="00236E37"/>
    <w:rsid w:val="00237F6D"/>
    <w:rsid w:val="00237F90"/>
    <w:rsid w:val="00252C1B"/>
    <w:rsid w:val="00252FB2"/>
    <w:rsid w:val="0025307B"/>
    <w:rsid w:val="00255331"/>
    <w:rsid w:val="00265CC0"/>
    <w:rsid w:val="00270434"/>
    <w:rsid w:val="00274AE0"/>
    <w:rsid w:val="00276457"/>
    <w:rsid w:val="00280E01"/>
    <w:rsid w:val="00281B79"/>
    <w:rsid w:val="00281C22"/>
    <w:rsid w:val="00284037"/>
    <w:rsid w:val="00284F8C"/>
    <w:rsid w:val="00285A16"/>
    <w:rsid w:val="00287293"/>
    <w:rsid w:val="002902C6"/>
    <w:rsid w:val="00290D11"/>
    <w:rsid w:val="00296265"/>
    <w:rsid w:val="002A04CC"/>
    <w:rsid w:val="002B0E97"/>
    <w:rsid w:val="002B7E34"/>
    <w:rsid w:val="002C1409"/>
    <w:rsid w:val="002C2E2C"/>
    <w:rsid w:val="002C5A74"/>
    <w:rsid w:val="002C5ED2"/>
    <w:rsid w:val="002C725D"/>
    <w:rsid w:val="002E1C15"/>
    <w:rsid w:val="002E2369"/>
    <w:rsid w:val="002F067D"/>
    <w:rsid w:val="002F11EB"/>
    <w:rsid w:val="00307FE2"/>
    <w:rsid w:val="00321717"/>
    <w:rsid w:val="003274D0"/>
    <w:rsid w:val="003274FA"/>
    <w:rsid w:val="00331ED0"/>
    <w:rsid w:val="00332675"/>
    <w:rsid w:val="00340641"/>
    <w:rsid w:val="0034115E"/>
    <w:rsid w:val="00350017"/>
    <w:rsid w:val="0035520D"/>
    <w:rsid w:val="0036504C"/>
    <w:rsid w:val="00366ECD"/>
    <w:rsid w:val="00381812"/>
    <w:rsid w:val="003A0FF5"/>
    <w:rsid w:val="003A19F6"/>
    <w:rsid w:val="003B060C"/>
    <w:rsid w:val="003C08F8"/>
    <w:rsid w:val="003C1A94"/>
    <w:rsid w:val="003C4DA0"/>
    <w:rsid w:val="003C5561"/>
    <w:rsid w:val="003D1373"/>
    <w:rsid w:val="003D5836"/>
    <w:rsid w:val="003E03FF"/>
    <w:rsid w:val="003E1DCD"/>
    <w:rsid w:val="003E223D"/>
    <w:rsid w:val="003E595C"/>
    <w:rsid w:val="003F1F3B"/>
    <w:rsid w:val="003F332B"/>
    <w:rsid w:val="003F5802"/>
    <w:rsid w:val="003F606D"/>
    <w:rsid w:val="003F6349"/>
    <w:rsid w:val="003F6BA7"/>
    <w:rsid w:val="0040109A"/>
    <w:rsid w:val="00406D1E"/>
    <w:rsid w:val="0040702F"/>
    <w:rsid w:val="00411F57"/>
    <w:rsid w:val="0041493D"/>
    <w:rsid w:val="00416E94"/>
    <w:rsid w:val="00422466"/>
    <w:rsid w:val="004233EA"/>
    <w:rsid w:val="004265E4"/>
    <w:rsid w:val="00430A19"/>
    <w:rsid w:val="0043308B"/>
    <w:rsid w:val="004354F1"/>
    <w:rsid w:val="004363D2"/>
    <w:rsid w:val="00436ACA"/>
    <w:rsid w:val="00436FB7"/>
    <w:rsid w:val="00446831"/>
    <w:rsid w:val="00447ADD"/>
    <w:rsid w:val="00451243"/>
    <w:rsid w:val="0045206B"/>
    <w:rsid w:val="00455877"/>
    <w:rsid w:val="00455D1A"/>
    <w:rsid w:val="00477C1E"/>
    <w:rsid w:val="00477E3A"/>
    <w:rsid w:val="00485F5C"/>
    <w:rsid w:val="00493F12"/>
    <w:rsid w:val="004A047D"/>
    <w:rsid w:val="004A2DA9"/>
    <w:rsid w:val="004A5665"/>
    <w:rsid w:val="004B40DB"/>
    <w:rsid w:val="004B4ABF"/>
    <w:rsid w:val="004C0D79"/>
    <w:rsid w:val="004C27CF"/>
    <w:rsid w:val="004C27DE"/>
    <w:rsid w:val="004C4D14"/>
    <w:rsid w:val="004C7BF5"/>
    <w:rsid w:val="004D10A9"/>
    <w:rsid w:val="004D16DE"/>
    <w:rsid w:val="004D37D9"/>
    <w:rsid w:val="004E09B2"/>
    <w:rsid w:val="004E15A8"/>
    <w:rsid w:val="004E1AA3"/>
    <w:rsid w:val="004E1EFD"/>
    <w:rsid w:val="004E417C"/>
    <w:rsid w:val="004F3241"/>
    <w:rsid w:val="004F44DB"/>
    <w:rsid w:val="00500218"/>
    <w:rsid w:val="005019A2"/>
    <w:rsid w:val="005125B3"/>
    <w:rsid w:val="005156D1"/>
    <w:rsid w:val="00522965"/>
    <w:rsid w:val="00524DC5"/>
    <w:rsid w:val="00537270"/>
    <w:rsid w:val="00540348"/>
    <w:rsid w:val="0054590E"/>
    <w:rsid w:val="0055376D"/>
    <w:rsid w:val="00553E8D"/>
    <w:rsid w:val="00556754"/>
    <w:rsid w:val="00557072"/>
    <w:rsid w:val="005607BB"/>
    <w:rsid w:val="005608B2"/>
    <w:rsid w:val="005616C4"/>
    <w:rsid w:val="005629CA"/>
    <w:rsid w:val="00563227"/>
    <w:rsid w:val="00564789"/>
    <w:rsid w:val="00570D65"/>
    <w:rsid w:val="00577259"/>
    <w:rsid w:val="00585265"/>
    <w:rsid w:val="005878B5"/>
    <w:rsid w:val="00592534"/>
    <w:rsid w:val="00592667"/>
    <w:rsid w:val="00596390"/>
    <w:rsid w:val="005973CE"/>
    <w:rsid w:val="005A1C13"/>
    <w:rsid w:val="005A4C1B"/>
    <w:rsid w:val="005A65A8"/>
    <w:rsid w:val="005A6C21"/>
    <w:rsid w:val="005B2530"/>
    <w:rsid w:val="005C19AE"/>
    <w:rsid w:val="005C2523"/>
    <w:rsid w:val="005C28CD"/>
    <w:rsid w:val="005C2CF8"/>
    <w:rsid w:val="005C424B"/>
    <w:rsid w:val="005C4A37"/>
    <w:rsid w:val="005D527B"/>
    <w:rsid w:val="005D5E5D"/>
    <w:rsid w:val="005E284B"/>
    <w:rsid w:val="005E431A"/>
    <w:rsid w:val="005F4E69"/>
    <w:rsid w:val="0061277F"/>
    <w:rsid w:val="00613AB1"/>
    <w:rsid w:val="00615D86"/>
    <w:rsid w:val="00623A97"/>
    <w:rsid w:val="00624E03"/>
    <w:rsid w:val="00625027"/>
    <w:rsid w:val="00630676"/>
    <w:rsid w:val="00631363"/>
    <w:rsid w:val="006372BB"/>
    <w:rsid w:val="006425B8"/>
    <w:rsid w:val="00643963"/>
    <w:rsid w:val="00646845"/>
    <w:rsid w:val="00650BA1"/>
    <w:rsid w:val="0065193E"/>
    <w:rsid w:val="0065637C"/>
    <w:rsid w:val="00660E8F"/>
    <w:rsid w:val="006640BD"/>
    <w:rsid w:val="00672FEC"/>
    <w:rsid w:val="0068136F"/>
    <w:rsid w:val="00687FD8"/>
    <w:rsid w:val="006922F7"/>
    <w:rsid w:val="00693363"/>
    <w:rsid w:val="0069589A"/>
    <w:rsid w:val="006958E6"/>
    <w:rsid w:val="00695B3A"/>
    <w:rsid w:val="00697F82"/>
    <w:rsid w:val="006A1F26"/>
    <w:rsid w:val="006B2C7E"/>
    <w:rsid w:val="006B7C00"/>
    <w:rsid w:val="006C26C2"/>
    <w:rsid w:val="006D0D13"/>
    <w:rsid w:val="006E209A"/>
    <w:rsid w:val="006E4702"/>
    <w:rsid w:val="006E4AE5"/>
    <w:rsid w:val="006E5215"/>
    <w:rsid w:val="006E66C6"/>
    <w:rsid w:val="006F0CE1"/>
    <w:rsid w:val="006F2BDE"/>
    <w:rsid w:val="006F2F05"/>
    <w:rsid w:val="006F3FC9"/>
    <w:rsid w:val="00703140"/>
    <w:rsid w:val="00711F7E"/>
    <w:rsid w:val="00713782"/>
    <w:rsid w:val="00731744"/>
    <w:rsid w:val="00731C7B"/>
    <w:rsid w:val="00732D7E"/>
    <w:rsid w:val="00735B4D"/>
    <w:rsid w:val="007406E1"/>
    <w:rsid w:val="00743E63"/>
    <w:rsid w:val="00744E83"/>
    <w:rsid w:val="00755EE7"/>
    <w:rsid w:val="00760ED5"/>
    <w:rsid w:val="0076361B"/>
    <w:rsid w:val="00764C7B"/>
    <w:rsid w:val="00767E6B"/>
    <w:rsid w:val="00790714"/>
    <w:rsid w:val="007A45CB"/>
    <w:rsid w:val="007A648C"/>
    <w:rsid w:val="007A7A66"/>
    <w:rsid w:val="007B237B"/>
    <w:rsid w:val="007B4184"/>
    <w:rsid w:val="007C1A0F"/>
    <w:rsid w:val="007C7DA5"/>
    <w:rsid w:val="007D14D4"/>
    <w:rsid w:val="007D3EB3"/>
    <w:rsid w:val="007D62BB"/>
    <w:rsid w:val="007E10A1"/>
    <w:rsid w:val="007E2D4A"/>
    <w:rsid w:val="007E3108"/>
    <w:rsid w:val="007E5E33"/>
    <w:rsid w:val="007F7B95"/>
    <w:rsid w:val="00806A14"/>
    <w:rsid w:val="00813863"/>
    <w:rsid w:val="00814712"/>
    <w:rsid w:val="008210E2"/>
    <w:rsid w:val="00832CB3"/>
    <w:rsid w:val="00844383"/>
    <w:rsid w:val="00854DD5"/>
    <w:rsid w:val="00864211"/>
    <w:rsid w:val="0086519F"/>
    <w:rsid w:val="008664E9"/>
    <w:rsid w:val="00867A3B"/>
    <w:rsid w:val="0087264F"/>
    <w:rsid w:val="008754CA"/>
    <w:rsid w:val="00881560"/>
    <w:rsid w:val="0088430F"/>
    <w:rsid w:val="00885445"/>
    <w:rsid w:val="00886ED4"/>
    <w:rsid w:val="00892C01"/>
    <w:rsid w:val="00896C34"/>
    <w:rsid w:val="00897146"/>
    <w:rsid w:val="008A3916"/>
    <w:rsid w:val="008A43BB"/>
    <w:rsid w:val="008B1370"/>
    <w:rsid w:val="008B2653"/>
    <w:rsid w:val="008B59FB"/>
    <w:rsid w:val="008B61E3"/>
    <w:rsid w:val="008C49F6"/>
    <w:rsid w:val="008C4EBE"/>
    <w:rsid w:val="008C5F2D"/>
    <w:rsid w:val="008F3431"/>
    <w:rsid w:val="008F4784"/>
    <w:rsid w:val="00902271"/>
    <w:rsid w:val="009103F5"/>
    <w:rsid w:val="0091092F"/>
    <w:rsid w:val="00914E52"/>
    <w:rsid w:val="0091533F"/>
    <w:rsid w:val="009161A1"/>
    <w:rsid w:val="00917454"/>
    <w:rsid w:val="009179FE"/>
    <w:rsid w:val="0092040B"/>
    <w:rsid w:val="00920DDB"/>
    <w:rsid w:val="00925CD7"/>
    <w:rsid w:val="00931C69"/>
    <w:rsid w:val="00932EFB"/>
    <w:rsid w:val="00937897"/>
    <w:rsid w:val="00937B7F"/>
    <w:rsid w:val="009426F0"/>
    <w:rsid w:val="00952578"/>
    <w:rsid w:val="009538D2"/>
    <w:rsid w:val="0095410D"/>
    <w:rsid w:val="00954B1F"/>
    <w:rsid w:val="00957235"/>
    <w:rsid w:val="00970404"/>
    <w:rsid w:val="0097261B"/>
    <w:rsid w:val="009759D7"/>
    <w:rsid w:val="00982DBF"/>
    <w:rsid w:val="00984A7E"/>
    <w:rsid w:val="009863A1"/>
    <w:rsid w:val="009918EC"/>
    <w:rsid w:val="009920C8"/>
    <w:rsid w:val="00992F0B"/>
    <w:rsid w:val="00994690"/>
    <w:rsid w:val="00996869"/>
    <w:rsid w:val="009B0355"/>
    <w:rsid w:val="009B100C"/>
    <w:rsid w:val="009B1402"/>
    <w:rsid w:val="009B4A24"/>
    <w:rsid w:val="009B7A6F"/>
    <w:rsid w:val="009C1755"/>
    <w:rsid w:val="009C1830"/>
    <w:rsid w:val="009C5973"/>
    <w:rsid w:val="009D6577"/>
    <w:rsid w:val="009D7268"/>
    <w:rsid w:val="009E1785"/>
    <w:rsid w:val="009E32E1"/>
    <w:rsid w:val="009F0AFD"/>
    <w:rsid w:val="009F6784"/>
    <w:rsid w:val="00A0031C"/>
    <w:rsid w:val="00A00C95"/>
    <w:rsid w:val="00A04190"/>
    <w:rsid w:val="00A12070"/>
    <w:rsid w:val="00A13A7E"/>
    <w:rsid w:val="00A27F0F"/>
    <w:rsid w:val="00A30C56"/>
    <w:rsid w:val="00A31E05"/>
    <w:rsid w:val="00A32AD0"/>
    <w:rsid w:val="00A36B87"/>
    <w:rsid w:val="00A405AE"/>
    <w:rsid w:val="00A46AC1"/>
    <w:rsid w:val="00A54FEF"/>
    <w:rsid w:val="00A640D7"/>
    <w:rsid w:val="00A67D15"/>
    <w:rsid w:val="00A70E78"/>
    <w:rsid w:val="00A73312"/>
    <w:rsid w:val="00A74EA7"/>
    <w:rsid w:val="00A75C47"/>
    <w:rsid w:val="00A83CFD"/>
    <w:rsid w:val="00A83F92"/>
    <w:rsid w:val="00A843C5"/>
    <w:rsid w:val="00A864F3"/>
    <w:rsid w:val="00A96100"/>
    <w:rsid w:val="00AA11F7"/>
    <w:rsid w:val="00AA1959"/>
    <w:rsid w:val="00AA53FF"/>
    <w:rsid w:val="00AA7679"/>
    <w:rsid w:val="00AB03C8"/>
    <w:rsid w:val="00AB1649"/>
    <w:rsid w:val="00AB2766"/>
    <w:rsid w:val="00AB7032"/>
    <w:rsid w:val="00AC08DF"/>
    <w:rsid w:val="00AC130C"/>
    <w:rsid w:val="00AC26E1"/>
    <w:rsid w:val="00AC63C3"/>
    <w:rsid w:val="00AD6512"/>
    <w:rsid w:val="00AE3E1F"/>
    <w:rsid w:val="00AF6494"/>
    <w:rsid w:val="00AF7DAE"/>
    <w:rsid w:val="00B02791"/>
    <w:rsid w:val="00B03B65"/>
    <w:rsid w:val="00B05CF0"/>
    <w:rsid w:val="00B06E6D"/>
    <w:rsid w:val="00B071D1"/>
    <w:rsid w:val="00B15BFB"/>
    <w:rsid w:val="00B2256C"/>
    <w:rsid w:val="00B27146"/>
    <w:rsid w:val="00B35DDC"/>
    <w:rsid w:val="00B415D3"/>
    <w:rsid w:val="00B60283"/>
    <w:rsid w:val="00B6419E"/>
    <w:rsid w:val="00B654EF"/>
    <w:rsid w:val="00B6678D"/>
    <w:rsid w:val="00B811E2"/>
    <w:rsid w:val="00B813ED"/>
    <w:rsid w:val="00B815A1"/>
    <w:rsid w:val="00B83BBA"/>
    <w:rsid w:val="00B94CBC"/>
    <w:rsid w:val="00B9522A"/>
    <w:rsid w:val="00BA39D0"/>
    <w:rsid w:val="00BA4918"/>
    <w:rsid w:val="00BA5C0A"/>
    <w:rsid w:val="00BA6F36"/>
    <w:rsid w:val="00BA74A8"/>
    <w:rsid w:val="00BA7AC3"/>
    <w:rsid w:val="00BB19CC"/>
    <w:rsid w:val="00BB3933"/>
    <w:rsid w:val="00BB4AEF"/>
    <w:rsid w:val="00BB5CC6"/>
    <w:rsid w:val="00BC50CE"/>
    <w:rsid w:val="00BD2AA3"/>
    <w:rsid w:val="00BD3F2D"/>
    <w:rsid w:val="00BD444E"/>
    <w:rsid w:val="00BD680A"/>
    <w:rsid w:val="00BE12C8"/>
    <w:rsid w:val="00BE23B5"/>
    <w:rsid w:val="00C000B7"/>
    <w:rsid w:val="00C011B0"/>
    <w:rsid w:val="00C01F0C"/>
    <w:rsid w:val="00C05835"/>
    <w:rsid w:val="00C1040D"/>
    <w:rsid w:val="00C12ECE"/>
    <w:rsid w:val="00C20F66"/>
    <w:rsid w:val="00C229EE"/>
    <w:rsid w:val="00C26781"/>
    <w:rsid w:val="00C3679C"/>
    <w:rsid w:val="00C42A4E"/>
    <w:rsid w:val="00C43865"/>
    <w:rsid w:val="00C45886"/>
    <w:rsid w:val="00C469CF"/>
    <w:rsid w:val="00C51A4E"/>
    <w:rsid w:val="00C523B5"/>
    <w:rsid w:val="00C533ED"/>
    <w:rsid w:val="00C5450D"/>
    <w:rsid w:val="00C6029E"/>
    <w:rsid w:val="00C65968"/>
    <w:rsid w:val="00C66DF5"/>
    <w:rsid w:val="00C74094"/>
    <w:rsid w:val="00C754DD"/>
    <w:rsid w:val="00C75E18"/>
    <w:rsid w:val="00C77A44"/>
    <w:rsid w:val="00C818CC"/>
    <w:rsid w:val="00C83652"/>
    <w:rsid w:val="00CA32FF"/>
    <w:rsid w:val="00CB5BB5"/>
    <w:rsid w:val="00CB78A0"/>
    <w:rsid w:val="00CC08D6"/>
    <w:rsid w:val="00CC2E7E"/>
    <w:rsid w:val="00CC5AD8"/>
    <w:rsid w:val="00CE2818"/>
    <w:rsid w:val="00CE2950"/>
    <w:rsid w:val="00CE71FD"/>
    <w:rsid w:val="00CF1F36"/>
    <w:rsid w:val="00CF2456"/>
    <w:rsid w:val="00CF499A"/>
    <w:rsid w:val="00CF57E0"/>
    <w:rsid w:val="00D00A84"/>
    <w:rsid w:val="00D00FBF"/>
    <w:rsid w:val="00D03518"/>
    <w:rsid w:val="00D07CF6"/>
    <w:rsid w:val="00D10E3C"/>
    <w:rsid w:val="00D13A7C"/>
    <w:rsid w:val="00D14B48"/>
    <w:rsid w:val="00D27D57"/>
    <w:rsid w:val="00D3183E"/>
    <w:rsid w:val="00D40123"/>
    <w:rsid w:val="00D476D8"/>
    <w:rsid w:val="00D4785A"/>
    <w:rsid w:val="00D51AA8"/>
    <w:rsid w:val="00D53BA5"/>
    <w:rsid w:val="00D55124"/>
    <w:rsid w:val="00D56451"/>
    <w:rsid w:val="00D566DF"/>
    <w:rsid w:val="00D610C6"/>
    <w:rsid w:val="00D643C7"/>
    <w:rsid w:val="00D726F2"/>
    <w:rsid w:val="00D75705"/>
    <w:rsid w:val="00D84A13"/>
    <w:rsid w:val="00D863E8"/>
    <w:rsid w:val="00D904CA"/>
    <w:rsid w:val="00D941EC"/>
    <w:rsid w:val="00D95DF2"/>
    <w:rsid w:val="00D96D2F"/>
    <w:rsid w:val="00D96DDA"/>
    <w:rsid w:val="00DA3CD3"/>
    <w:rsid w:val="00DA4F88"/>
    <w:rsid w:val="00DB1F0F"/>
    <w:rsid w:val="00DD0264"/>
    <w:rsid w:val="00DD21A4"/>
    <w:rsid w:val="00DE372A"/>
    <w:rsid w:val="00DF5F30"/>
    <w:rsid w:val="00E01C64"/>
    <w:rsid w:val="00E026EF"/>
    <w:rsid w:val="00E10413"/>
    <w:rsid w:val="00E12186"/>
    <w:rsid w:val="00E140AB"/>
    <w:rsid w:val="00E14490"/>
    <w:rsid w:val="00E16456"/>
    <w:rsid w:val="00E16755"/>
    <w:rsid w:val="00E21894"/>
    <w:rsid w:val="00E21FA5"/>
    <w:rsid w:val="00E22A3A"/>
    <w:rsid w:val="00E26C68"/>
    <w:rsid w:val="00E5031E"/>
    <w:rsid w:val="00E51494"/>
    <w:rsid w:val="00E53158"/>
    <w:rsid w:val="00E568FB"/>
    <w:rsid w:val="00E61813"/>
    <w:rsid w:val="00E6457E"/>
    <w:rsid w:val="00E73035"/>
    <w:rsid w:val="00E7455C"/>
    <w:rsid w:val="00E80A5E"/>
    <w:rsid w:val="00E81183"/>
    <w:rsid w:val="00E83C26"/>
    <w:rsid w:val="00E86E9E"/>
    <w:rsid w:val="00E871E1"/>
    <w:rsid w:val="00E8752D"/>
    <w:rsid w:val="00E9717B"/>
    <w:rsid w:val="00EA3C4B"/>
    <w:rsid w:val="00EA51F3"/>
    <w:rsid w:val="00EA5BDF"/>
    <w:rsid w:val="00EB59F0"/>
    <w:rsid w:val="00EB62E9"/>
    <w:rsid w:val="00EB72DF"/>
    <w:rsid w:val="00ED3FA1"/>
    <w:rsid w:val="00ED7369"/>
    <w:rsid w:val="00ED7C27"/>
    <w:rsid w:val="00EE0044"/>
    <w:rsid w:val="00EE1FB4"/>
    <w:rsid w:val="00EF23B5"/>
    <w:rsid w:val="00EF7AB2"/>
    <w:rsid w:val="00F050ED"/>
    <w:rsid w:val="00F10287"/>
    <w:rsid w:val="00F1189C"/>
    <w:rsid w:val="00F11FAB"/>
    <w:rsid w:val="00F152C0"/>
    <w:rsid w:val="00F16916"/>
    <w:rsid w:val="00F21EE8"/>
    <w:rsid w:val="00F22806"/>
    <w:rsid w:val="00F2461A"/>
    <w:rsid w:val="00F24D7C"/>
    <w:rsid w:val="00F2519E"/>
    <w:rsid w:val="00F27E71"/>
    <w:rsid w:val="00F33933"/>
    <w:rsid w:val="00F41CD1"/>
    <w:rsid w:val="00F42E3D"/>
    <w:rsid w:val="00F42EE0"/>
    <w:rsid w:val="00F5367A"/>
    <w:rsid w:val="00F55A75"/>
    <w:rsid w:val="00F60CD8"/>
    <w:rsid w:val="00F61BEF"/>
    <w:rsid w:val="00F6700E"/>
    <w:rsid w:val="00F773D0"/>
    <w:rsid w:val="00F807D5"/>
    <w:rsid w:val="00F83157"/>
    <w:rsid w:val="00F845E1"/>
    <w:rsid w:val="00F85770"/>
    <w:rsid w:val="00F8669F"/>
    <w:rsid w:val="00FA2B62"/>
    <w:rsid w:val="00FA7EA1"/>
    <w:rsid w:val="00FB033A"/>
    <w:rsid w:val="00FB08D5"/>
    <w:rsid w:val="00FB3E9B"/>
    <w:rsid w:val="00FB782B"/>
    <w:rsid w:val="00FC02B9"/>
    <w:rsid w:val="00FC35AD"/>
    <w:rsid w:val="00FC6DE3"/>
    <w:rsid w:val="00FD1EF5"/>
    <w:rsid w:val="00FD6D97"/>
    <w:rsid w:val="00FD6EFB"/>
    <w:rsid w:val="00FE0C8D"/>
    <w:rsid w:val="00FE5CF0"/>
    <w:rsid w:val="00FF6A01"/>
    <w:rsid w:val="00FF6C57"/>
    <w:rsid w:val="00FF6F86"/>
    <w:rsid w:val="00FF7E58"/>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8684-EB81-464D-85E0-1E33A3C8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10</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250</cp:revision>
  <cp:lastPrinted>2018-02-22T15:28:00Z</cp:lastPrinted>
  <dcterms:created xsi:type="dcterms:W3CDTF">2017-12-04T11:49:00Z</dcterms:created>
  <dcterms:modified xsi:type="dcterms:W3CDTF">2018-09-10T07:55:00Z</dcterms:modified>
</cp:coreProperties>
</file>