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A7" w:rsidRDefault="00B777A7" w:rsidP="005839A8">
      <w:pPr>
        <w:spacing w:line="360" w:lineRule="auto"/>
        <w:jc w:val="center"/>
        <w:rPr>
          <w:rFonts w:eastAsia="Calibri"/>
          <w:b/>
          <w:bCs/>
          <w:szCs w:val="24"/>
          <w:lang w:eastAsia="en-US"/>
        </w:rPr>
      </w:pPr>
    </w:p>
    <w:p w:rsidR="00B777A7" w:rsidRDefault="00B777A7" w:rsidP="005839A8">
      <w:pPr>
        <w:spacing w:line="360" w:lineRule="auto"/>
        <w:jc w:val="center"/>
        <w:rPr>
          <w:rFonts w:eastAsia="Calibri"/>
          <w:b/>
          <w:bCs/>
          <w:szCs w:val="24"/>
          <w:lang w:eastAsia="en-US"/>
        </w:rPr>
      </w:pPr>
    </w:p>
    <w:p w:rsidR="00F27D13" w:rsidRDefault="00F27D13" w:rsidP="005839A8">
      <w:pPr>
        <w:spacing w:line="360" w:lineRule="auto"/>
        <w:jc w:val="center"/>
        <w:rPr>
          <w:rFonts w:eastAsia="Calibri"/>
          <w:b/>
          <w:bCs/>
          <w:szCs w:val="24"/>
          <w:lang w:eastAsia="en-US"/>
        </w:rPr>
      </w:pPr>
      <w:r w:rsidRPr="00F27D13">
        <w:rPr>
          <w:rFonts w:eastAsia="Calibri"/>
          <w:b/>
          <w:bCs/>
          <w:szCs w:val="24"/>
          <w:lang w:eastAsia="en-US"/>
        </w:rPr>
        <w:t>ЧАСТ III.</w:t>
      </w:r>
    </w:p>
    <w:p w:rsidR="004E1B92" w:rsidRPr="00905AD2" w:rsidRDefault="00F27D13" w:rsidP="005839A8">
      <w:pPr>
        <w:spacing w:line="360" w:lineRule="auto"/>
        <w:jc w:val="center"/>
        <w:rPr>
          <w:rFonts w:eastAsia="Calibri"/>
          <w:b/>
          <w:bCs/>
          <w:szCs w:val="24"/>
          <w:lang w:eastAsia="en-US"/>
        </w:rPr>
      </w:pPr>
      <w:r w:rsidRPr="00F27D13">
        <w:rPr>
          <w:rFonts w:eastAsia="Calibri"/>
          <w:b/>
          <w:bCs/>
          <w:szCs w:val="24"/>
          <w:lang w:eastAsia="en-US"/>
        </w:rPr>
        <w:t>ОБРАЗЦИ НА ДОКУМЕНТИ ЗА УЧАСТИЕ В ПРОЦЕДУРАТА</w:t>
      </w:r>
      <w:r w:rsidR="004E1B92" w:rsidRPr="00905AD2">
        <w:rPr>
          <w:rFonts w:eastAsia="Calibri"/>
          <w:b/>
          <w:bCs/>
          <w:szCs w:val="24"/>
          <w:lang w:eastAsia="en-US"/>
        </w:rPr>
        <w:t xml:space="preserve"> </w:t>
      </w:r>
    </w:p>
    <w:p w:rsidR="00625573" w:rsidRPr="00905AD2" w:rsidRDefault="00625573" w:rsidP="005839A8">
      <w:pPr>
        <w:spacing w:line="360" w:lineRule="auto"/>
        <w:jc w:val="center"/>
        <w:rPr>
          <w:rFonts w:eastAsia="Calibri"/>
          <w:bCs/>
          <w:szCs w:val="24"/>
          <w:u w:val="single"/>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4F28BF" w:rsidRDefault="004F28BF" w:rsidP="005839A8">
      <w:pPr>
        <w:spacing w:line="360" w:lineRule="auto"/>
        <w:ind w:left="284"/>
        <w:jc w:val="right"/>
        <w:rPr>
          <w:rFonts w:eastAsia="Calibri"/>
          <w:b/>
          <w:bCs/>
          <w:i/>
          <w:szCs w:val="24"/>
          <w:lang w:eastAsia="en-US"/>
        </w:rPr>
      </w:pPr>
    </w:p>
    <w:p w:rsidR="005A0D22" w:rsidRDefault="005A0D22" w:rsidP="005839A8">
      <w:pPr>
        <w:spacing w:line="360" w:lineRule="auto"/>
        <w:ind w:left="284"/>
        <w:jc w:val="right"/>
        <w:rPr>
          <w:rFonts w:eastAsia="Calibri"/>
          <w:b/>
          <w:bCs/>
          <w:i/>
          <w:szCs w:val="24"/>
          <w:lang w:eastAsia="en-US"/>
        </w:rPr>
      </w:pP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5D1346" w:rsidRPr="00274004" w:rsidRDefault="005D1346" w:rsidP="005839A8">
      <w:pPr>
        <w:tabs>
          <w:tab w:val="left" w:pos="4151"/>
        </w:tabs>
        <w:spacing w:line="360" w:lineRule="auto"/>
        <w:rPr>
          <w:rFonts w:eastAsia="Calibri"/>
          <w:szCs w:val="24"/>
          <w:lang w:val="en-US"/>
        </w:rPr>
      </w:pPr>
    </w:p>
    <w:p w:rsidR="00625573" w:rsidRPr="00905AD2" w:rsidRDefault="008A21AF" w:rsidP="005839A8">
      <w:pPr>
        <w:spacing w:line="360" w:lineRule="auto"/>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1C0140" w:rsidRPr="00905AD2" w:rsidRDefault="004F28BF" w:rsidP="004A1B71">
      <w:pPr>
        <w:tabs>
          <w:tab w:val="left" w:pos="0"/>
        </w:tabs>
        <w:spacing w:line="360" w:lineRule="auto"/>
        <w:ind w:right="11"/>
        <w:jc w:val="both"/>
        <w:rPr>
          <w:bCs/>
          <w:spacing w:val="-3"/>
          <w:szCs w:val="24"/>
        </w:rPr>
      </w:pPr>
      <w:r>
        <w:rPr>
          <w:szCs w:val="24"/>
        </w:rPr>
        <w:t>„</w:t>
      </w:r>
      <w:r w:rsidRPr="003C30FE">
        <w:rPr>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3C30FE">
        <w:rPr>
          <w:bCs/>
          <w:szCs w:val="24"/>
        </w:rPr>
        <w:t>Министерството на здравеопазването</w:t>
      </w:r>
    </w:p>
    <w:p w:rsidR="008764DA" w:rsidRPr="00905AD2" w:rsidRDefault="008764DA" w:rsidP="005839A8">
      <w:pPr>
        <w:tabs>
          <w:tab w:val="left" w:pos="284"/>
        </w:tabs>
        <w:spacing w:line="360" w:lineRule="auto"/>
        <w:ind w:left="284" w:right="11" w:hanging="284"/>
        <w:rPr>
          <w:bCs/>
          <w:spacing w:val="-3"/>
          <w:szCs w:val="24"/>
        </w:rPr>
      </w:pPr>
    </w:p>
    <w:p w:rsidR="00FD6D9A" w:rsidRPr="00905AD2" w:rsidRDefault="00FF0865" w:rsidP="005839A8">
      <w:pPr>
        <w:tabs>
          <w:tab w:val="left" w:pos="284"/>
        </w:tabs>
        <w:spacing w:line="360" w:lineRule="auto"/>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5839A8">
      <w:pPr>
        <w:tabs>
          <w:tab w:val="left" w:pos="284"/>
          <w:tab w:val="left" w:pos="6663"/>
          <w:tab w:val="left" w:pos="9849"/>
        </w:tabs>
        <w:spacing w:line="360" w:lineRule="auto"/>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5839A8">
      <w:pPr>
        <w:spacing w:line="360" w:lineRule="auto"/>
        <w:jc w:val="both"/>
        <w:rPr>
          <w:rFonts w:eastAsia="Calibri"/>
          <w:szCs w:val="24"/>
          <w:lang w:eastAsia="en-US"/>
        </w:rPr>
      </w:pPr>
      <w:r w:rsidRPr="00905AD2">
        <w:rPr>
          <w:rFonts w:eastAsia="Calibri"/>
          <w:szCs w:val="24"/>
          <w:lang w:eastAsia="en-US"/>
        </w:rPr>
        <w:t>с адрес: гр. …………………………</w:t>
      </w:r>
      <w:r w:rsidR="004A1B71">
        <w:rPr>
          <w:rFonts w:eastAsia="Calibri"/>
          <w:szCs w:val="24"/>
          <w:lang w:eastAsia="en-US"/>
        </w:rPr>
        <w:t xml:space="preserve"> ул. …………………………………………………..№ ….</w:t>
      </w:r>
      <w:r w:rsidRPr="00905AD2">
        <w:rPr>
          <w:rFonts w:eastAsia="Calibri"/>
          <w:szCs w:val="24"/>
          <w:lang w:eastAsia="en-US"/>
        </w:rPr>
        <w:t>,</w:t>
      </w:r>
    </w:p>
    <w:p w:rsidR="00F13373" w:rsidRPr="00905AD2" w:rsidRDefault="004A1B71" w:rsidP="005839A8">
      <w:pPr>
        <w:spacing w:line="360" w:lineRule="auto"/>
        <w:jc w:val="both"/>
        <w:rPr>
          <w:rFonts w:eastAsia="Calibri"/>
          <w:szCs w:val="24"/>
          <w:lang w:eastAsia="en-US"/>
        </w:rPr>
      </w:pPr>
      <w:r>
        <w:rPr>
          <w:rFonts w:eastAsia="Calibri"/>
          <w:szCs w:val="24"/>
          <w:lang w:eastAsia="en-US"/>
        </w:rPr>
        <w:t>тел.: ……………</w:t>
      </w:r>
      <w:r w:rsidR="00F13373" w:rsidRPr="00905AD2">
        <w:rPr>
          <w:rFonts w:eastAsia="Calibri"/>
          <w:szCs w:val="24"/>
          <w:lang w:eastAsia="en-US"/>
        </w:rPr>
        <w:t>……, факс: ………………….., e-mail: ………………………………..…..</w:t>
      </w:r>
    </w:p>
    <w:p w:rsidR="00F13373" w:rsidRPr="00905AD2" w:rsidRDefault="00F13373" w:rsidP="005839A8">
      <w:pPr>
        <w:spacing w:line="360" w:lineRule="auto"/>
        <w:jc w:val="both"/>
        <w:rPr>
          <w:rFonts w:eastAsia="Calibri"/>
          <w:szCs w:val="24"/>
          <w:lang w:eastAsia="en-US"/>
        </w:rPr>
      </w:pPr>
      <w:r w:rsidRPr="00905AD2">
        <w:rPr>
          <w:rFonts w:eastAsia="Calibri"/>
          <w:szCs w:val="24"/>
          <w:lang w:eastAsia="en-US"/>
        </w:rPr>
        <w:t>Булстат / ЕИК: ………………………………………..</w:t>
      </w:r>
    </w:p>
    <w:p w:rsidR="00FD6D9A" w:rsidRPr="00905AD2" w:rsidRDefault="00FD6D9A" w:rsidP="005839A8">
      <w:pPr>
        <w:spacing w:line="360" w:lineRule="auto"/>
        <w:jc w:val="both"/>
        <w:rPr>
          <w:bCs/>
          <w:spacing w:val="-5"/>
          <w:szCs w:val="24"/>
        </w:rPr>
      </w:pPr>
      <w:r w:rsidRPr="00905AD2">
        <w:rPr>
          <w:bCs/>
          <w:spacing w:val="-5"/>
          <w:szCs w:val="24"/>
        </w:rPr>
        <w:t>и подписано от: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5839A8">
      <w:pPr>
        <w:tabs>
          <w:tab w:val="left" w:pos="284"/>
          <w:tab w:val="left" w:pos="6663"/>
          <w:tab w:val="left" w:pos="9214"/>
          <w:tab w:val="left" w:pos="9849"/>
        </w:tabs>
        <w:spacing w:line="360" w:lineRule="auto"/>
        <w:ind w:left="284" w:hanging="284"/>
        <w:jc w:val="center"/>
        <w:rPr>
          <w:bCs/>
          <w:i/>
          <w:spacing w:val="-6"/>
          <w:sz w:val="16"/>
          <w:szCs w:val="16"/>
        </w:rPr>
      </w:pPr>
      <w:r w:rsidRPr="00905AD2">
        <w:rPr>
          <w:bCs/>
          <w:i/>
          <w:spacing w:val="-6"/>
          <w:sz w:val="16"/>
          <w:szCs w:val="16"/>
        </w:rPr>
        <w:t>/три имена/</w:t>
      </w:r>
    </w:p>
    <w:p w:rsidR="00FD6D9A" w:rsidRPr="00905AD2" w:rsidRDefault="00FD6D9A" w:rsidP="005839A8">
      <w:pPr>
        <w:tabs>
          <w:tab w:val="left" w:pos="284"/>
          <w:tab w:val="left" w:pos="6663"/>
          <w:tab w:val="left" w:pos="9849"/>
        </w:tabs>
        <w:spacing w:line="360" w:lineRule="auto"/>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004A1B71">
        <w:rPr>
          <w:bCs/>
          <w:spacing w:val="-5"/>
          <w:szCs w:val="24"/>
        </w:rPr>
        <w:t>.</w:t>
      </w:r>
    </w:p>
    <w:p w:rsidR="00FD6D9A" w:rsidRPr="00905AD2" w:rsidRDefault="00FD6D9A" w:rsidP="005839A8">
      <w:pPr>
        <w:tabs>
          <w:tab w:val="left" w:pos="284"/>
          <w:tab w:val="left" w:pos="9849"/>
        </w:tabs>
        <w:spacing w:line="360" w:lineRule="auto"/>
        <w:ind w:left="284" w:right="-51" w:hanging="284"/>
        <w:jc w:val="center"/>
        <w:rPr>
          <w:bCs/>
          <w:i/>
          <w:sz w:val="16"/>
          <w:szCs w:val="16"/>
        </w:rPr>
      </w:pPr>
      <w:r w:rsidRPr="00905AD2">
        <w:rPr>
          <w:bCs/>
          <w:i/>
          <w:spacing w:val="-5"/>
          <w:sz w:val="16"/>
          <w:szCs w:val="16"/>
        </w:rPr>
        <w:t>/длъжност/</w:t>
      </w:r>
    </w:p>
    <w:p w:rsidR="008764DA" w:rsidRPr="00905AD2" w:rsidRDefault="008764DA" w:rsidP="005839A8">
      <w:pPr>
        <w:spacing w:line="360" w:lineRule="auto"/>
        <w:jc w:val="both"/>
        <w:rPr>
          <w:b/>
          <w:color w:val="000000"/>
          <w:szCs w:val="24"/>
          <w:lang w:eastAsia="en-GB"/>
        </w:rPr>
      </w:pPr>
    </w:p>
    <w:p w:rsidR="009041B7" w:rsidRPr="00905AD2" w:rsidRDefault="009041B7" w:rsidP="005839A8">
      <w:pPr>
        <w:spacing w:line="360" w:lineRule="auto"/>
        <w:jc w:val="both"/>
        <w:rPr>
          <w:b/>
          <w:color w:val="000000"/>
          <w:szCs w:val="24"/>
          <w:lang w:eastAsia="en-GB"/>
        </w:rPr>
      </w:pPr>
    </w:p>
    <w:p w:rsidR="00625573" w:rsidRPr="00905AD2" w:rsidRDefault="00625573" w:rsidP="005839A8">
      <w:pPr>
        <w:spacing w:line="360" w:lineRule="auto"/>
        <w:jc w:val="both"/>
        <w:rPr>
          <w:b/>
          <w:color w:val="000000"/>
          <w:szCs w:val="24"/>
          <w:lang w:eastAsia="en-GB"/>
        </w:rPr>
      </w:pPr>
      <w:r w:rsidRPr="00905AD2">
        <w:rPr>
          <w:b/>
          <w:color w:val="000000"/>
          <w:szCs w:val="24"/>
          <w:lang w:eastAsia="en-GB"/>
        </w:rPr>
        <w:t>Съдържание:</w:t>
      </w:r>
    </w:p>
    <w:p w:rsidR="00625573" w:rsidRDefault="005172EE" w:rsidP="005839A8">
      <w:pPr>
        <w:spacing w:line="360" w:lineRule="auto"/>
        <w:jc w:val="both"/>
        <w:rPr>
          <w:color w:val="000000"/>
          <w:szCs w:val="24"/>
          <w:lang w:eastAsia="en-GB"/>
        </w:rPr>
      </w:pPr>
      <w:r w:rsidRPr="00B8544E">
        <w:rPr>
          <w:b/>
          <w:color w:val="000000"/>
          <w:szCs w:val="24"/>
          <w:lang w:eastAsia="en-GB"/>
        </w:rPr>
        <w:t>1.</w:t>
      </w:r>
      <w:r>
        <w:rPr>
          <w:color w:val="000000"/>
          <w:szCs w:val="24"/>
          <w:lang w:eastAsia="en-GB"/>
        </w:rPr>
        <w:t xml:space="preserve"> </w:t>
      </w:r>
      <w:r w:rsidR="008764DA" w:rsidRPr="005172EE">
        <w:rPr>
          <w:color w:val="000000"/>
          <w:szCs w:val="24"/>
          <w:lang w:eastAsia="en-GB"/>
        </w:rPr>
        <w:t xml:space="preserve">Декларация </w:t>
      </w:r>
      <w:r w:rsidR="00604858">
        <w:rPr>
          <w:color w:val="000000"/>
          <w:szCs w:val="24"/>
          <w:lang w:eastAsia="en-GB"/>
        </w:rPr>
        <w:t>по чл. 54, ал. 1</w:t>
      </w:r>
      <w:r w:rsidR="009C447D">
        <w:rPr>
          <w:color w:val="000000"/>
          <w:szCs w:val="24"/>
          <w:lang w:eastAsia="en-GB"/>
        </w:rPr>
        <w:t>,</w:t>
      </w:r>
      <w:r w:rsidRPr="005172EE">
        <w:rPr>
          <w:color w:val="000000"/>
          <w:szCs w:val="24"/>
          <w:lang w:eastAsia="en-GB"/>
        </w:rPr>
        <w:t xml:space="preserve"> </w:t>
      </w:r>
      <w:r w:rsidR="009C447D" w:rsidRPr="009C447D">
        <w:rPr>
          <w:color w:val="000000"/>
          <w:szCs w:val="24"/>
          <w:lang w:eastAsia="en-GB"/>
        </w:rPr>
        <w:t>т.</w:t>
      </w:r>
      <w:r w:rsidR="009C447D">
        <w:rPr>
          <w:color w:val="000000"/>
          <w:szCs w:val="24"/>
          <w:lang w:eastAsia="en-GB"/>
        </w:rPr>
        <w:t xml:space="preserve"> </w:t>
      </w:r>
      <w:r w:rsidR="009C447D" w:rsidRPr="009C447D">
        <w:rPr>
          <w:color w:val="000000"/>
          <w:szCs w:val="24"/>
          <w:lang w:eastAsia="en-GB"/>
        </w:rPr>
        <w:t xml:space="preserve">1 - 7 </w:t>
      </w:r>
      <w:r w:rsidRPr="005172EE">
        <w:rPr>
          <w:color w:val="000000"/>
          <w:szCs w:val="24"/>
          <w:lang w:eastAsia="en-GB"/>
        </w:rPr>
        <w:t xml:space="preserve">от Закона за обществените поръчки </w:t>
      </w:r>
      <w:r w:rsidR="008764DA" w:rsidRPr="005172EE">
        <w:rPr>
          <w:color w:val="000000"/>
          <w:szCs w:val="24"/>
          <w:lang w:eastAsia="en-GB"/>
        </w:rPr>
        <w:t>от</w:t>
      </w:r>
      <w:r w:rsidR="00625573" w:rsidRPr="005172EE">
        <w:rPr>
          <w:color w:val="000000"/>
          <w:szCs w:val="24"/>
          <w:lang w:eastAsia="en-GB"/>
        </w:rPr>
        <w:t xml:space="preserve"> участника в съответствие с изискванията на закона и условията на възложителя, а когато е приложимо –</w:t>
      </w:r>
      <w:r w:rsidR="008764DA" w:rsidRPr="005172EE">
        <w:rPr>
          <w:color w:val="000000"/>
          <w:szCs w:val="24"/>
          <w:lang w:eastAsia="en-GB"/>
        </w:rPr>
        <w:t xml:space="preserve"> </w:t>
      </w:r>
      <w:r w:rsidR="00625573" w:rsidRPr="005172EE">
        <w:rPr>
          <w:color w:val="000000"/>
          <w:szCs w:val="24"/>
          <w:lang w:eastAsia="en-GB"/>
        </w:rPr>
        <w:t>за всеки от участниците в обединението, което не е юридическо лице, за всеки подизпълнител и за всяко лице, чиито ресурси ще бъдат ангажира</w:t>
      </w:r>
      <w:r w:rsidRPr="005172EE">
        <w:rPr>
          <w:color w:val="000000"/>
          <w:szCs w:val="24"/>
          <w:lang w:eastAsia="en-GB"/>
        </w:rPr>
        <w:t>ни в изпълнението на поръчката;</w:t>
      </w:r>
    </w:p>
    <w:p w:rsidR="009C447D" w:rsidRPr="009C447D" w:rsidRDefault="009C447D" w:rsidP="005839A8">
      <w:pPr>
        <w:spacing w:line="360" w:lineRule="auto"/>
        <w:jc w:val="both"/>
        <w:rPr>
          <w:color w:val="000000"/>
          <w:szCs w:val="24"/>
          <w:lang w:eastAsia="en-GB"/>
        </w:rPr>
      </w:pPr>
      <w:r w:rsidRPr="009C447D">
        <w:rPr>
          <w:b/>
          <w:bCs/>
          <w:color w:val="000000"/>
          <w:szCs w:val="24"/>
          <w:lang w:eastAsia="en-GB"/>
        </w:rPr>
        <w:t>2</w:t>
      </w:r>
      <w:r w:rsidRPr="009C447D">
        <w:rPr>
          <w:color w:val="000000"/>
          <w:szCs w:val="24"/>
          <w:lang w:eastAsia="en-GB"/>
        </w:rPr>
        <w:t>.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w:t>
      </w:r>
    </w:p>
    <w:p w:rsidR="004A1B71" w:rsidRDefault="009C447D" w:rsidP="004A1B71">
      <w:pPr>
        <w:spacing w:line="360" w:lineRule="auto"/>
        <w:jc w:val="both"/>
        <w:rPr>
          <w:color w:val="000000"/>
          <w:szCs w:val="24"/>
          <w:lang w:eastAsia="en-GB"/>
        </w:rPr>
      </w:pPr>
      <w:r>
        <w:rPr>
          <w:b/>
          <w:color w:val="000000"/>
          <w:szCs w:val="24"/>
          <w:lang w:eastAsia="en-GB"/>
        </w:rPr>
        <w:t>3</w:t>
      </w:r>
      <w:r w:rsidR="005172EE" w:rsidRPr="00B8544E">
        <w:rPr>
          <w:b/>
          <w:color w:val="000000"/>
          <w:szCs w:val="24"/>
          <w:lang w:eastAsia="en-GB"/>
        </w:rPr>
        <w:t>.</w:t>
      </w:r>
      <w:r w:rsidR="005172EE">
        <w:rPr>
          <w:color w:val="000000"/>
          <w:szCs w:val="24"/>
          <w:lang w:eastAsia="en-GB"/>
        </w:rPr>
        <w:t xml:space="preserve"> </w:t>
      </w:r>
      <w:r w:rsidR="004A1B71">
        <w:rPr>
          <w:color w:val="000000"/>
          <w:szCs w:val="24"/>
          <w:lang w:eastAsia="en-GB"/>
        </w:rPr>
        <w:t>Д</w:t>
      </w:r>
      <w:r w:rsidR="004A1B71" w:rsidRPr="00C81A4E">
        <w:rPr>
          <w:color w:val="000000"/>
          <w:szCs w:val="24"/>
          <w:lang w:eastAsia="en-GB"/>
        </w:rPr>
        <w:t>екларация за наличие/отсъствие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004A1B71">
        <w:rPr>
          <w:color w:val="000000"/>
          <w:szCs w:val="24"/>
          <w:lang w:eastAsia="en-GB"/>
        </w:rPr>
        <w:t xml:space="preserve"> собственици (ЗИФОДРЮПДРКТЛТДС);</w:t>
      </w:r>
    </w:p>
    <w:p w:rsidR="009C447D" w:rsidRPr="009C447D" w:rsidRDefault="009C447D" w:rsidP="004A1B71">
      <w:pPr>
        <w:spacing w:line="360" w:lineRule="auto"/>
        <w:jc w:val="both"/>
        <w:rPr>
          <w:b/>
          <w:bCs/>
          <w:color w:val="000000"/>
          <w:szCs w:val="24"/>
          <w:lang w:eastAsia="en-GB"/>
        </w:rPr>
      </w:pPr>
      <w:r w:rsidRPr="009C447D">
        <w:rPr>
          <w:b/>
          <w:bCs/>
          <w:color w:val="000000"/>
          <w:szCs w:val="24"/>
          <w:lang w:eastAsia="en-GB"/>
        </w:rPr>
        <w:t xml:space="preserve">4. </w:t>
      </w:r>
      <w:r w:rsidRPr="009C447D">
        <w:rPr>
          <w:color w:val="000000"/>
          <w:szCs w:val="24"/>
          <w:lang w:eastAsia="en-GB"/>
        </w:rPr>
        <w:t>Д</w:t>
      </w:r>
      <w:r w:rsidRPr="009C447D">
        <w:rPr>
          <w:szCs w:val="24"/>
          <w:lang w:eastAsia="en-GB"/>
        </w:rPr>
        <w:t>е</w:t>
      </w:r>
      <w:r w:rsidRPr="00FB2FD2">
        <w:rPr>
          <w:szCs w:val="24"/>
          <w:lang w:eastAsia="en-GB"/>
        </w:rPr>
        <w:t xml:space="preserve">кларация по чл. 101, ал. 11 от </w:t>
      </w:r>
      <w:r>
        <w:rPr>
          <w:szCs w:val="24"/>
          <w:lang w:eastAsia="en-GB"/>
        </w:rPr>
        <w:t>ЗОП</w:t>
      </w:r>
      <w:r w:rsidR="00A91B41">
        <w:rPr>
          <w:szCs w:val="24"/>
          <w:lang w:eastAsia="en-GB"/>
        </w:rPr>
        <w:t>;</w:t>
      </w:r>
    </w:p>
    <w:p w:rsidR="004A1B71" w:rsidRDefault="00A91B41" w:rsidP="004A1B71">
      <w:pPr>
        <w:spacing w:line="360" w:lineRule="auto"/>
        <w:jc w:val="both"/>
        <w:rPr>
          <w:color w:val="000000"/>
          <w:szCs w:val="24"/>
          <w:lang w:eastAsia="en-GB"/>
        </w:rPr>
      </w:pPr>
      <w:r>
        <w:rPr>
          <w:b/>
          <w:color w:val="000000"/>
          <w:szCs w:val="24"/>
          <w:lang w:eastAsia="en-GB"/>
        </w:rPr>
        <w:t xml:space="preserve">5. </w:t>
      </w:r>
      <w:r w:rsidRPr="00A91B41">
        <w:rPr>
          <w:bCs/>
          <w:color w:val="000000"/>
          <w:szCs w:val="24"/>
          <w:lang w:eastAsia="en-GB"/>
        </w:rPr>
        <w:t>За</w:t>
      </w:r>
      <w:r w:rsidRPr="00A91B41">
        <w:rPr>
          <w:color w:val="000000"/>
          <w:szCs w:val="24"/>
          <w:lang w:eastAsia="en-GB"/>
        </w:rPr>
        <w:t xml:space="preserve">верено от участника копие на индивидуалната лицензия (разрешение), издадена от Комисията за регулиране на съобщенията, придружено от декларация (свободен текст), че ще поддържат индивидуална лицензия (разрешение) за осъществяване на далекосъобщения (електронни съобщения) чрез далекосъобщителна клетъчна мрежа (електронна съобщителна </w:t>
      </w:r>
      <w:r w:rsidRPr="00A91B41">
        <w:rPr>
          <w:color w:val="000000"/>
          <w:szCs w:val="24"/>
          <w:lang w:eastAsia="en-GB"/>
        </w:rPr>
        <w:lastRenderedPageBreak/>
        <w:t xml:space="preserve">мрежа) за територията на Република България за срока на действие на договора в случай, </w:t>
      </w:r>
      <w:r w:rsidR="004F55D6">
        <w:rPr>
          <w:color w:val="000000"/>
          <w:szCs w:val="24"/>
          <w:lang w:eastAsia="en-GB"/>
        </w:rPr>
        <w:t>че бъдат избрани за изпълнители;</w:t>
      </w:r>
    </w:p>
    <w:p w:rsidR="004A1B71" w:rsidRPr="004D6AFB" w:rsidRDefault="001960E7" w:rsidP="004A1B71">
      <w:pPr>
        <w:spacing w:line="360" w:lineRule="auto"/>
        <w:jc w:val="both"/>
        <w:rPr>
          <w:bCs/>
          <w:szCs w:val="24"/>
        </w:rPr>
      </w:pPr>
      <w:r>
        <w:rPr>
          <w:b/>
          <w:szCs w:val="24"/>
        </w:rPr>
        <w:t>6</w:t>
      </w:r>
      <w:r w:rsidR="004A1B71" w:rsidRPr="004A1B71">
        <w:rPr>
          <w:b/>
          <w:szCs w:val="24"/>
        </w:rPr>
        <w:t>.</w:t>
      </w:r>
      <w:r w:rsidR="004A1B71">
        <w:rPr>
          <w:szCs w:val="24"/>
        </w:rPr>
        <w:t xml:space="preserve"> </w:t>
      </w:r>
      <w:r w:rsidR="004F55D6">
        <w:rPr>
          <w:szCs w:val="24"/>
        </w:rPr>
        <w:t>З</w:t>
      </w:r>
      <w:r w:rsidR="004F55D6" w:rsidRPr="004F55D6">
        <w:rPr>
          <w:szCs w:val="24"/>
        </w:rPr>
        <w:t>аверено от участника копие на валиден сертификат за въведена система за управление на качеството</w:t>
      </w:r>
      <w:r w:rsidR="004F55D6" w:rsidRPr="004F55D6">
        <w:rPr>
          <w:bCs/>
          <w:iCs/>
          <w:szCs w:val="24"/>
        </w:rPr>
        <w:t xml:space="preserve"> по стандарт БДС EN ISO 9001:20хх или еквивалентна система за управление на качеството, с обхват съгласно предмета на поръчката;</w:t>
      </w:r>
    </w:p>
    <w:p w:rsidR="004A1B71" w:rsidRPr="00784EA8" w:rsidRDefault="000C0817" w:rsidP="004A1B71">
      <w:pPr>
        <w:spacing w:line="360" w:lineRule="auto"/>
        <w:jc w:val="both"/>
        <w:rPr>
          <w:szCs w:val="24"/>
        </w:rPr>
      </w:pPr>
      <w:r>
        <w:rPr>
          <w:b/>
          <w:szCs w:val="24"/>
        </w:rPr>
        <w:t>7</w:t>
      </w:r>
      <w:r w:rsidR="004A1B71" w:rsidRPr="004A1B71">
        <w:rPr>
          <w:b/>
          <w:szCs w:val="24"/>
        </w:rPr>
        <w:t>.</w:t>
      </w:r>
      <w:r w:rsidR="004A1B71">
        <w:rPr>
          <w:szCs w:val="24"/>
        </w:rPr>
        <w:t xml:space="preserve"> </w:t>
      </w:r>
      <w:r>
        <w:rPr>
          <w:szCs w:val="24"/>
        </w:rPr>
        <w:t>Д</w:t>
      </w:r>
      <w:r w:rsidRPr="000C0817">
        <w:rPr>
          <w:szCs w:val="24"/>
        </w:rPr>
        <w:t>окументи за доказване на предприетите мерки за надеждност</w:t>
      </w:r>
      <w:r>
        <w:rPr>
          <w:szCs w:val="24"/>
        </w:rPr>
        <w:t xml:space="preserve"> </w:t>
      </w:r>
      <w:r w:rsidRPr="000C0817">
        <w:rPr>
          <w:i/>
          <w:iCs/>
          <w:szCs w:val="24"/>
        </w:rPr>
        <w:t>(в приложимите случаи)</w:t>
      </w:r>
      <w:r w:rsidRPr="000C0817">
        <w:rPr>
          <w:szCs w:val="24"/>
        </w:rPr>
        <w:t>;</w:t>
      </w:r>
    </w:p>
    <w:p w:rsidR="004A1B71" w:rsidRPr="004D6AFB" w:rsidRDefault="00164520" w:rsidP="004A1B71">
      <w:pPr>
        <w:spacing w:line="360" w:lineRule="auto"/>
        <w:jc w:val="both"/>
        <w:rPr>
          <w:color w:val="000000"/>
          <w:szCs w:val="24"/>
          <w:lang w:eastAsia="en-GB"/>
        </w:rPr>
      </w:pPr>
      <w:r>
        <w:rPr>
          <w:b/>
          <w:szCs w:val="24"/>
        </w:rPr>
        <w:t>8</w:t>
      </w:r>
      <w:r w:rsidR="004A1B71" w:rsidRPr="004A1B71">
        <w:rPr>
          <w:b/>
          <w:szCs w:val="24"/>
        </w:rPr>
        <w:t>.</w:t>
      </w:r>
      <w:r w:rsidR="004A1B71">
        <w:rPr>
          <w:szCs w:val="24"/>
        </w:rPr>
        <w:t xml:space="preserve"> </w:t>
      </w:r>
      <w:r>
        <w:rPr>
          <w:szCs w:val="24"/>
        </w:rPr>
        <w:t>З</w:t>
      </w:r>
      <w:r w:rsidRPr="00164520">
        <w:rPr>
          <w:szCs w:val="24"/>
        </w:rPr>
        <w:t>аверено от участника копие, от който да е видно правното основание за създаване на обединението, в случай, че предложението се подава от обединение</w:t>
      </w:r>
      <w:r>
        <w:rPr>
          <w:szCs w:val="24"/>
        </w:rPr>
        <w:t xml:space="preserve"> </w:t>
      </w:r>
      <w:r w:rsidRPr="00164520">
        <w:rPr>
          <w:i/>
          <w:iCs/>
          <w:szCs w:val="24"/>
        </w:rPr>
        <w:t>(в приложимите случаи)</w:t>
      </w:r>
      <w:r>
        <w:rPr>
          <w:i/>
          <w:iCs/>
          <w:szCs w:val="24"/>
        </w:rPr>
        <w:t>.</w:t>
      </w:r>
    </w:p>
    <w:p w:rsidR="00965D28" w:rsidRDefault="00965D28" w:rsidP="005839A8">
      <w:pPr>
        <w:spacing w:line="360" w:lineRule="auto"/>
        <w:jc w:val="both"/>
        <w:rPr>
          <w:color w:val="000000"/>
          <w:szCs w:val="24"/>
          <w:lang w:eastAsia="en-GB"/>
        </w:rPr>
      </w:pPr>
    </w:p>
    <w:p w:rsidR="00965D28" w:rsidRPr="00905AD2" w:rsidRDefault="00965D28" w:rsidP="005839A8">
      <w:pPr>
        <w:spacing w:line="360" w:lineRule="auto"/>
        <w:jc w:val="both"/>
        <w:rPr>
          <w:color w:val="000000"/>
          <w:szCs w:val="24"/>
          <w:lang w:eastAsia="en-GB"/>
        </w:rPr>
      </w:pPr>
    </w:p>
    <w:p w:rsidR="00965D28" w:rsidRPr="00905AD2" w:rsidRDefault="00965D2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965D28" w:rsidRPr="00905AD2" w:rsidRDefault="00965D28" w:rsidP="005839A8">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5839A8">
      <w:pPr>
        <w:spacing w:line="360" w:lineRule="auto"/>
        <w:rPr>
          <w:color w:val="000000"/>
          <w:szCs w:val="24"/>
          <w:lang w:eastAsia="en-GB"/>
        </w:rPr>
      </w:pPr>
      <w:r w:rsidRPr="00905AD2">
        <w:rPr>
          <w:color w:val="000000"/>
          <w:szCs w:val="24"/>
          <w:lang w:eastAsia="en-GB"/>
        </w:rPr>
        <w:br w:type="page"/>
      </w: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990568" w:rsidRPr="00905AD2" w:rsidRDefault="00990568" w:rsidP="005839A8">
      <w:pPr>
        <w:autoSpaceDE w:val="0"/>
        <w:autoSpaceDN w:val="0"/>
        <w:adjustRightInd w:val="0"/>
        <w:spacing w:line="360" w:lineRule="auto"/>
        <w:jc w:val="center"/>
        <w:rPr>
          <w:rFonts w:eastAsia="Verdana-Bold"/>
          <w:b/>
          <w:bCs/>
          <w:szCs w:val="24"/>
          <w:lang w:eastAsia="en-US"/>
        </w:rPr>
      </w:pPr>
      <w:r w:rsidRPr="00905AD2">
        <w:rPr>
          <w:rFonts w:eastAsia="Verdana-Bold"/>
          <w:b/>
          <w:bCs/>
          <w:szCs w:val="24"/>
          <w:lang w:eastAsia="en-US"/>
        </w:rPr>
        <w:t>Д Е К Л А Р А Ц И Я</w:t>
      </w:r>
    </w:p>
    <w:p w:rsidR="00990568" w:rsidRPr="00905AD2" w:rsidRDefault="00990568" w:rsidP="005839A8">
      <w:pPr>
        <w:spacing w:line="360" w:lineRule="auto"/>
        <w:jc w:val="center"/>
        <w:rPr>
          <w:rFonts w:eastAsia="Calibri"/>
          <w:b/>
          <w:bCs/>
          <w:szCs w:val="24"/>
          <w:lang w:eastAsia="en-US"/>
        </w:rPr>
      </w:pPr>
      <w:r w:rsidRPr="00905AD2">
        <w:rPr>
          <w:rFonts w:eastAsia="Calibri"/>
          <w:b/>
          <w:bCs/>
          <w:szCs w:val="24"/>
          <w:lang w:eastAsia="en-US"/>
        </w:rPr>
        <w:t xml:space="preserve">по </w:t>
      </w:r>
      <w:r w:rsidRPr="00905AD2">
        <w:rPr>
          <w:rFonts w:eastAsia="Calibri"/>
          <w:b/>
          <w:szCs w:val="24"/>
          <w:lang w:eastAsia="en-US"/>
        </w:rPr>
        <w:t xml:space="preserve">чл. </w:t>
      </w:r>
      <w:r w:rsidR="003A3B8D">
        <w:rPr>
          <w:rFonts w:eastAsia="Verdana-Bold"/>
          <w:b/>
          <w:bCs/>
          <w:szCs w:val="24"/>
          <w:lang w:eastAsia="en-US"/>
        </w:rPr>
        <w:t>54, ал. 1</w:t>
      </w:r>
      <w:r w:rsidRPr="00905AD2">
        <w:rPr>
          <w:rFonts w:eastAsia="Verdana-Bold"/>
          <w:b/>
          <w:bCs/>
          <w:szCs w:val="24"/>
          <w:lang w:eastAsia="en-US"/>
        </w:rPr>
        <w:t xml:space="preserve"> о</w:t>
      </w:r>
      <w:r w:rsidRPr="00905AD2">
        <w:rPr>
          <w:rFonts w:eastAsia="Calibri"/>
          <w:b/>
          <w:bCs/>
          <w:szCs w:val="24"/>
          <w:lang w:eastAsia="en-US"/>
        </w:rPr>
        <w:t>т Закона за обществените поръчки</w:t>
      </w:r>
    </w:p>
    <w:p w:rsidR="00990568" w:rsidRPr="00905AD2" w:rsidRDefault="00990568" w:rsidP="005839A8">
      <w:pPr>
        <w:spacing w:line="360" w:lineRule="auto"/>
        <w:jc w:val="both"/>
        <w:rPr>
          <w:rFonts w:eastAsia="Calibri"/>
          <w:b/>
          <w:bCs/>
          <w:szCs w:val="24"/>
          <w:lang w:eastAsia="en-US"/>
        </w:rPr>
      </w:pPr>
    </w:p>
    <w:p w:rsidR="00932D96" w:rsidRPr="00905AD2" w:rsidRDefault="00932D96" w:rsidP="005839A8">
      <w:pPr>
        <w:spacing w:line="360" w:lineRule="auto"/>
        <w:jc w:val="both"/>
        <w:rPr>
          <w:rFonts w:eastAsia="Calibri"/>
          <w:b/>
          <w:bCs/>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pacing w:val="2"/>
          <w:w w:val="111"/>
          <w:szCs w:val="24"/>
          <w:lang w:eastAsia="en-US"/>
        </w:rPr>
        <w:t>Подписаният: ………………………………</w:t>
      </w:r>
      <w:r w:rsidRPr="00905AD2">
        <w:rPr>
          <w:rFonts w:eastAsia="Calibri"/>
          <w:szCs w:val="24"/>
          <w:lang w:eastAsia="en-US"/>
        </w:rPr>
        <w:t>……………………....................................</w:t>
      </w:r>
    </w:p>
    <w:p w:rsidR="00990568" w:rsidRPr="00905AD2" w:rsidRDefault="00990568" w:rsidP="005839A8">
      <w:pPr>
        <w:spacing w:line="360" w:lineRule="auto"/>
        <w:jc w:val="center"/>
        <w:rPr>
          <w:rFonts w:eastAsia="Calibri"/>
          <w:i/>
          <w:spacing w:val="4"/>
          <w:szCs w:val="24"/>
          <w:lang w:eastAsia="en-US"/>
        </w:rPr>
      </w:pPr>
      <w:r w:rsidRPr="00905AD2">
        <w:rPr>
          <w:rFonts w:eastAsia="Calibri"/>
          <w:i/>
          <w:spacing w:val="4"/>
          <w:szCs w:val="24"/>
          <w:lang w:eastAsia="en-US"/>
        </w:rPr>
        <w:t>(три имена)</w:t>
      </w:r>
    </w:p>
    <w:p w:rsidR="00990568" w:rsidRPr="00905AD2" w:rsidRDefault="00990568"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990568" w:rsidRPr="00905AD2" w:rsidRDefault="00990568" w:rsidP="005839A8">
      <w:pPr>
        <w:spacing w:line="360" w:lineRule="auto"/>
        <w:jc w:val="center"/>
        <w:rPr>
          <w:rFonts w:eastAsia="Calibri"/>
          <w:i/>
          <w:szCs w:val="24"/>
          <w:lang w:eastAsia="en-US"/>
        </w:rPr>
      </w:pPr>
      <w:r w:rsidRPr="00905AD2">
        <w:rPr>
          <w:rFonts w:eastAsia="Calibri"/>
          <w:i/>
          <w:spacing w:val="3"/>
          <w:szCs w:val="24"/>
          <w:lang w:eastAsia="en-US"/>
        </w:rPr>
        <w:t>(длъжност)</w:t>
      </w:r>
    </w:p>
    <w:p w:rsidR="00990568" w:rsidRPr="004A1B71" w:rsidRDefault="00990568" w:rsidP="005839A8">
      <w:pPr>
        <w:spacing w:line="360" w:lineRule="auto"/>
        <w:jc w:val="both"/>
        <w:rPr>
          <w:rFonts w:eastAsia="Calibri"/>
          <w:szCs w:val="24"/>
          <w:lang w:eastAsia="en-US"/>
        </w:rPr>
      </w:pPr>
      <w:r w:rsidRPr="00905AD2">
        <w:rPr>
          <w:rFonts w:eastAsia="Calibri"/>
          <w:szCs w:val="24"/>
          <w:lang w:eastAsia="en-US"/>
        </w:rPr>
        <w:t xml:space="preserve">на </w:t>
      </w:r>
      <w:r w:rsidR="00932D96" w:rsidRPr="00905AD2">
        <w:rPr>
          <w:rFonts w:eastAsia="Calibri"/>
          <w:szCs w:val="24"/>
          <w:lang w:eastAsia="en-US"/>
        </w:rPr>
        <w:t>у</w:t>
      </w:r>
      <w:r w:rsidRPr="00905AD2">
        <w:rPr>
          <w:rFonts w:eastAsia="Calibri"/>
          <w:szCs w:val="24"/>
          <w:lang w:eastAsia="en-US"/>
        </w:rPr>
        <w:t>частник</w:t>
      </w:r>
      <w:r w:rsidRPr="00905AD2">
        <w:rPr>
          <w:rFonts w:eastAsia="Calibri"/>
          <w:spacing w:val="3"/>
          <w:w w:val="120"/>
          <w:szCs w:val="24"/>
          <w:lang w:eastAsia="en-US"/>
        </w:rPr>
        <w:t xml:space="preserve">: </w:t>
      </w:r>
      <w:r w:rsidRPr="00905AD2">
        <w:rPr>
          <w:rFonts w:eastAsia="Calibri"/>
          <w:szCs w:val="24"/>
          <w:lang w:eastAsia="en-US"/>
        </w:rPr>
        <w:t>…………………………………………..………………………………………, в процедура за възлагане на обществена поръчка с предмет</w:t>
      </w:r>
      <w:r w:rsidR="004A1B71" w:rsidRPr="004A1B71">
        <w:rPr>
          <w:rFonts w:eastAsia="Calibri"/>
          <w:szCs w:val="24"/>
          <w:lang w:eastAsia="en-US"/>
        </w:rPr>
        <w:t>:</w:t>
      </w:r>
      <w:r w:rsidRPr="004A1B71">
        <w:rPr>
          <w:rFonts w:eastAsia="Calibri"/>
          <w:szCs w:val="24"/>
          <w:lang w:eastAsia="en-US"/>
        </w:rPr>
        <w:t xml:space="preserve"> </w:t>
      </w:r>
      <w:r w:rsidR="00F1375F" w:rsidRPr="00F1375F">
        <w:rPr>
          <w:bCs/>
          <w:szCs w:val="24"/>
        </w:rPr>
        <w:t>„</w:t>
      </w:r>
      <w:r w:rsidR="00F1375F" w:rsidRPr="00F1375F">
        <w:rPr>
          <w:bCs/>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F1375F" w:rsidRPr="00F1375F">
        <w:rPr>
          <w:bCs/>
          <w:szCs w:val="24"/>
        </w:rPr>
        <w:t>Мин</w:t>
      </w:r>
      <w:r w:rsidR="00F1375F">
        <w:rPr>
          <w:bCs/>
          <w:szCs w:val="24"/>
        </w:rPr>
        <w:t>истерството на здравеопазването</w:t>
      </w:r>
      <w:r w:rsidR="00854A1A" w:rsidRPr="004A1B71">
        <w:rPr>
          <w:rFonts w:eastAsia="Calibri"/>
          <w:szCs w:val="24"/>
          <w:lang w:eastAsia="en-US"/>
        </w:rPr>
        <w:t>,</w:t>
      </w:r>
    </w:p>
    <w:p w:rsidR="00854A1A" w:rsidRPr="00905AD2" w:rsidRDefault="00854A1A" w:rsidP="005839A8">
      <w:pPr>
        <w:spacing w:line="360" w:lineRule="auto"/>
        <w:jc w:val="both"/>
        <w:rPr>
          <w:rFonts w:eastAsia="Calibri"/>
          <w:b/>
          <w:bCs/>
          <w:szCs w:val="24"/>
          <w:lang w:eastAsia="en-US"/>
        </w:rPr>
      </w:pPr>
    </w:p>
    <w:p w:rsidR="00990568" w:rsidRPr="00905AD2" w:rsidRDefault="00990568" w:rsidP="005839A8">
      <w:pPr>
        <w:spacing w:line="360" w:lineRule="auto"/>
        <w:jc w:val="center"/>
        <w:outlineLvl w:val="0"/>
        <w:rPr>
          <w:rFonts w:eastAsia="Calibri"/>
          <w:b/>
          <w:bCs/>
          <w:szCs w:val="24"/>
          <w:lang w:eastAsia="en-US"/>
        </w:rPr>
      </w:pPr>
      <w:r w:rsidRPr="00905AD2">
        <w:rPr>
          <w:rFonts w:eastAsia="Calibri"/>
          <w:b/>
          <w:bCs/>
          <w:szCs w:val="24"/>
          <w:lang w:eastAsia="en-US"/>
        </w:rPr>
        <w:t>Д Е К Л А Р И Р А М:</w:t>
      </w:r>
    </w:p>
    <w:p w:rsidR="00990568" w:rsidRPr="00905AD2" w:rsidRDefault="00990568" w:rsidP="005839A8">
      <w:pPr>
        <w:spacing w:line="360" w:lineRule="auto"/>
        <w:jc w:val="center"/>
        <w:outlineLvl w:val="0"/>
        <w:rPr>
          <w:rFonts w:eastAsia="Calibri"/>
          <w:b/>
          <w:bCs/>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1. Не съм осъждан(а) с влязла в сила присъда / Реабилитира</w:t>
      </w:r>
      <w:r w:rsidR="003E4CC3" w:rsidRPr="00905AD2">
        <w:rPr>
          <w:rFonts w:eastAsia="Calibri"/>
          <w:szCs w:val="24"/>
          <w:lang w:eastAsia="en-US"/>
        </w:rPr>
        <w:t xml:space="preserve">н(а) съм </w:t>
      </w:r>
      <w:r w:rsidR="00012294" w:rsidRPr="00012294">
        <w:rPr>
          <w:rFonts w:eastAsia="Calibri"/>
          <w:szCs w:val="24"/>
          <w:lang w:eastAsia="en-US"/>
        </w:rPr>
        <w:t>/</w:t>
      </w:r>
      <w:r w:rsidR="00012294" w:rsidRPr="00012294">
        <w:rPr>
          <w:rFonts w:eastAsia="Calibri"/>
          <w:i/>
          <w:szCs w:val="24"/>
          <w:lang w:eastAsia="en-US"/>
        </w:rPr>
        <w:t>ненужното се зачертава</w:t>
      </w:r>
      <w:r w:rsidR="00012294" w:rsidRPr="00012294">
        <w:rPr>
          <w:rFonts w:eastAsia="Calibri"/>
          <w:szCs w:val="24"/>
          <w:lang w:eastAsia="en-US"/>
        </w:rPr>
        <w:t>/</w:t>
      </w:r>
      <w:r w:rsidR="00012294">
        <w:rPr>
          <w:rFonts w:eastAsia="Calibri"/>
          <w:szCs w:val="24"/>
          <w:lang w:eastAsia="en-US"/>
        </w:rPr>
        <w:t xml:space="preserve"> </w:t>
      </w:r>
      <w:r w:rsidR="003E4CC3" w:rsidRPr="00905AD2">
        <w:rPr>
          <w:rFonts w:eastAsia="Calibri"/>
          <w:szCs w:val="24"/>
          <w:lang w:eastAsia="en-US"/>
        </w:rPr>
        <w:t>за престъпление по чл.108а, чл.159а – 159г, чл.172, чл.</w:t>
      </w:r>
      <w:r w:rsidRPr="00905AD2">
        <w:rPr>
          <w:rFonts w:eastAsia="Calibri"/>
          <w:szCs w:val="24"/>
          <w:lang w:eastAsia="en-US"/>
        </w:rPr>
        <w:t>1</w:t>
      </w:r>
      <w:r w:rsidR="003E4CC3" w:rsidRPr="00905AD2">
        <w:rPr>
          <w:rFonts w:eastAsia="Calibri"/>
          <w:szCs w:val="24"/>
          <w:lang w:eastAsia="en-US"/>
        </w:rPr>
        <w:t>92а, чл.194 – 217, чл.219 – 252, чл.253 – 260, чл.301 – 307, чл.321, 321а и чл.</w:t>
      </w:r>
      <w:r w:rsidRPr="00905AD2">
        <w:rPr>
          <w:rFonts w:eastAsia="Calibri"/>
          <w:szCs w:val="24"/>
          <w:lang w:eastAsia="en-US"/>
        </w:rPr>
        <w:t>352 – 353е от Наказателния кодекс;</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2. Не съм осъждан(а) с влязла в сила присъда / Реабилитиран(а) съм, за престъп</w:t>
      </w:r>
      <w:r w:rsidR="003E4CC3" w:rsidRPr="00905AD2">
        <w:rPr>
          <w:rFonts w:eastAsia="Calibri"/>
          <w:szCs w:val="24"/>
          <w:lang w:eastAsia="en-US"/>
        </w:rPr>
        <w:t>ление, аналогично на тези по т.</w:t>
      </w:r>
      <w:r w:rsidRPr="00905AD2">
        <w:rPr>
          <w:rFonts w:eastAsia="Calibri"/>
          <w:szCs w:val="24"/>
          <w:lang w:eastAsia="en-US"/>
        </w:rPr>
        <w:t>1, в друга държава членка или трета страна;</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3. </w:t>
      </w:r>
      <w:r w:rsidRPr="00905AD2">
        <w:rPr>
          <w:rFonts w:eastAsia="Batang"/>
          <w:szCs w:val="24"/>
          <w:lang w:eastAsia="en-US"/>
        </w:rPr>
        <w:t xml:space="preserve">Представляваният от мен участник няма </w:t>
      </w:r>
      <w:r w:rsidRPr="00905AD2">
        <w:rPr>
          <w:rFonts w:eastAsia="Calibri"/>
          <w:szCs w:val="24"/>
          <w:lang w:eastAsia="en-US"/>
        </w:rPr>
        <w:t>задължения за данъци и задължителни осигур</w:t>
      </w:r>
      <w:r w:rsidR="003E4CC3" w:rsidRPr="00905AD2">
        <w:rPr>
          <w:rFonts w:eastAsia="Calibri"/>
          <w:szCs w:val="24"/>
          <w:lang w:eastAsia="en-US"/>
        </w:rPr>
        <w:t>ителни вноски по смисъла на чл.162, ал.2, т.</w:t>
      </w:r>
      <w:r w:rsidRPr="00905AD2">
        <w:rPr>
          <w:rFonts w:eastAsia="Calibri"/>
          <w:szCs w:val="24"/>
          <w:lang w:eastAsia="en-US"/>
        </w:rPr>
        <w:t>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4. не е налице нера</w:t>
      </w:r>
      <w:r w:rsidR="003E4CC3" w:rsidRPr="00905AD2">
        <w:rPr>
          <w:rFonts w:eastAsia="Calibri"/>
          <w:szCs w:val="24"/>
          <w:lang w:eastAsia="en-US"/>
        </w:rPr>
        <w:t>внопоставеност в случаите по чл.</w:t>
      </w:r>
      <w:r w:rsidR="004A1B71">
        <w:rPr>
          <w:rFonts w:eastAsia="Calibri"/>
          <w:szCs w:val="24"/>
          <w:lang w:val="en-US" w:eastAsia="en-US"/>
        </w:rPr>
        <w:t xml:space="preserve"> </w:t>
      </w:r>
      <w:r w:rsidR="003E4CC3" w:rsidRPr="00905AD2">
        <w:rPr>
          <w:rFonts w:eastAsia="Calibri"/>
          <w:szCs w:val="24"/>
          <w:lang w:eastAsia="en-US"/>
        </w:rPr>
        <w:t>44, ал.</w:t>
      </w:r>
      <w:r w:rsidR="004A1B71">
        <w:rPr>
          <w:rFonts w:eastAsia="Calibri"/>
          <w:szCs w:val="24"/>
          <w:lang w:val="en-US" w:eastAsia="en-US"/>
        </w:rPr>
        <w:t xml:space="preserve"> </w:t>
      </w:r>
      <w:r w:rsidRPr="00905AD2">
        <w:rPr>
          <w:rFonts w:eastAsia="Calibri"/>
          <w:szCs w:val="24"/>
          <w:lang w:eastAsia="en-US"/>
        </w:rPr>
        <w:t>5</w:t>
      </w:r>
      <w:r w:rsidR="00C914A4">
        <w:rPr>
          <w:rFonts w:eastAsia="Calibri"/>
          <w:szCs w:val="24"/>
          <w:lang w:eastAsia="en-US"/>
        </w:rPr>
        <w:t xml:space="preserve"> от ЗОП</w:t>
      </w:r>
      <w:r w:rsidRPr="00905AD2">
        <w:rPr>
          <w:rFonts w:eastAsia="Calibri"/>
          <w:szCs w:val="24"/>
          <w:lang w:eastAsia="en-US"/>
        </w:rPr>
        <w:t>;</w:t>
      </w:r>
    </w:p>
    <w:p w:rsidR="00990568" w:rsidRPr="00905AD2" w:rsidRDefault="003E4CC3" w:rsidP="005839A8">
      <w:pPr>
        <w:spacing w:line="360" w:lineRule="auto"/>
        <w:jc w:val="both"/>
        <w:rPr>
          <w:rFonts w:eastAsia="Calibri"/>
          <w:szCs w:val="24"/>
          <w:lang w:eastAsia="en-US"/>
        </w:rPr>
      </w:pPr>
      <w:r w:rsidRPr="00905AD2">
        <w:rPr>
          <w:rFonts w:eastAsia="Calibri"/>
          <w:szCs w:val="24"/>
          <w:lang w:eastAsia="en-US"/>
        </w:rPr>
        <w:t>5.</w:t>
      </w:r>
      <w:r w:rsidR="00990568" w:rsidRPr="00905AD2">
        <w:rPr>
          <w:rFonts w:eastAsia="Calibri"/>
          <w:szCs w:val="24"/>
          <w:lang w:eastAsia="en-US"/>
        </w:rPr>
        <w:t xml:space="preserve"> </w:t>
      </w:r>
      <w:r w:rsidR="00990568" w:rsidRPr="00905AD2">
        <w:rPr>
          <w:rFonts w:eastAsia="Batang"/>
          <w:szCs w:val="24"/>
          <w:lang w:eastAsia="en-US"/>
        </w:rPr>
        <w:t>Представляваният от мен участник</w:t>
      </w:r>
      <w:r w:rsidR="00990568" w:rsidRPr="00905AD2">
        <w:rPr>
          <w:rFonts w:eastAsia="Calibri"/>
          <w:szCs w:val="24"/>
          <w:lang w:eastAsia="en-US"/>
        </w:rPr>
        <w:t>:</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Default="00990568" w:rsidP="005839A8">
      <w:pPr>
        <w:spacing w:line="360" w:lineRule="auto"/>
        <w:jc w:val="both"/>
        <w:rPr>
          <w:rFonts w:eastAsia="Calibri"/>
          <w:szCs w:val="24"/>
          <w:lang w:eastAsia="en-US"/>
        </w:rPr>
      </w:pPr>
      <w:r w:rsidRPr="00905AD2">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6433" w:rsidRPr="00905AD2" w:rsidRDefault="00DE6433" w:rsidP="005839A8">
      <w:pPr>
        <w:spacing w:line="360" w:lineRule="auto"/>
        <w:jc w:val="both"/>
        <w:rPr>
          <w:rFonts w:eastAsia="Calibri"/>
          <w:szCs w:val="24"/>
          <w:lang w:eastAsia="en-US"/>
        </w:rPr>
      </w:pPr>
      <w:r>
        <w:rPr>
          <w:rFonts w:eastAsia="Calibri"/>
          <w:szCs w:val="24"/>
          <w:lang w:eastAsia="en-US"/>
        </w:rPr>
        <w:t>6.</w:t>
      </w:r>
      <w:r w:rsidRPr="00DE6433">
        <w:t xml:space="preserve"> </w:t>
      </w:r>
      <w:r w:rsidR="000D7D4E">
        <w:t>За представляваният от мен участник н</w:t>
      </w:r>
      <w:r>
        <w:t xml:space="preserve">е </w:t>
      </w:r>
      <w:r w:rsidRPr="00DE6433">
        <w:rPr>
          <w:rFonts w:eastAsia="Calibri"/>
          <w:szCs w:val="24"/>
          <w:lang w:eastAsia="en-US"/>
        </w:rPr>
        <w:t xml:space="preserve">е установено с влязло в сила наказателно постановление или съдебно решение, че при изпълнение на договор за обществена поръчка е </w:t>
      </w:r>
      <w:r w:rsidRPr="00DE6433">
        <w:rPr>
          <w:rFonts w:eastAsia="Calibri"/>
          <w:szCs w:val="24"/>
          <w:lang w:eastAsia="en-US"/>
        </w:rPr>
        <w:lastRenderedPageBreak/>
        <w:t>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90568" w:rsidRPr="00905AD2" w:rsidRDefault="00DE6433" w:rsidP="005839A8">
      <w:pPr>
        <w:spacing w:line="360" w:lineRule="auto"/>
        <w:jc w:val="both"/>
        <w:rPr>
          <w:szCs w:val="24"/>
        </w:rPr>
      </w:pPr>
      <w:r>
        <w:rPr>
          <w:rFonts w:eastAsia="Calibri"/>
          <w:szCs w:val="24"/>
          <w:lang w:eastAsia="en-US"/>
        </w:rPr>
        <w:t>7.  Н</w:t>
      </w:r>
      <w:r w:rsidR="00990568" w:rsidRPr="00905AD2">
        <w:rPr>
          <w:rFonts w:eastAsia="Calibri"/>
          <w:szCs w:val="24"/>
          <w:lang w:eastAsia="en-US"/>
        </w:rPr>
        <w:t>е е налице конфликт</w:t>
      </w:r>
      <w:r w:rsidR="00990568" w:rsidRPr="00905AD2">
        <w:rPr>
          <w:szCs w:val="24"/>
        </w:rPr>
        <w:t xml:space="preserve"> на интереси, който не може да бъде отстранен </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Известна ми е отговорността по чл.313 от НК за неверни данни. </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w:t>
      </w:r>
      <w:r w:rsidR="00F067FD" w:rsidRPr="00905AD2">
        <w:rPr>
          <w:rFonts w:eastAsia="Calibri"/>
          <w:spacing w:val="-16"/>
          <w:w w:val="111"/>
          <w:szCs w:val="24"/>
          <w:lang w:eastAsia="en-US"/>
        </w:rPr>
        <w:t>: .............................</w:t>
      </w:r>
      <w:r w:rsidR="00F067FD" w:rsidRPr="00905AD2">
        <w:rPr>
          <w:rFonts w:eastAsia="Calibri"/>
          <w:spacing w:val="-16"/>
          <w:w w:val="111"/>
          <w:szCs w:val="24"/>
          <w:lang w:eastAsia="en-US"/>
        </w:rPr>
        <w:tab/>
      </w:r>
      <w:r w:rsidRPr="00905AD2">
        <w:rPr>
          <w:rFonts w:eastAsia="Calibri"/>
          <w:spacing w:val="-3"/>
          <w:szCs w:val="24"/>
          <w:lang w:eastAsia="en-US"/>
        </w:rPr>
        <w:t>ДЕКЛАРАТОР:</w:t>
      </w:r>
    </w:p>
    <w:p w:rsidR="00990568" w:rsidRPr="00905AD2" w:rsidRDefault="00990568" w:rsidP="005839A8">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5839A8">
      <w:pPr>
        <w:spacing w:line="360" w:lineRule="auto"/>
        <w:jc w:val="both"/>
        <w:rPr>
          <w:rFonts w:eastAsia="Calibri"/>
          <w:spacing w:val="-4"/>
          <w:szCs w:val="24"/>
          <w:lang w:eastAsia="en-US"/>
        </w:rPr>
      </w:pPr>
    </w:p>
    <w:p w:rsidR="00990568" w:rsidRPr="00905AD2" w:rsidRDefault="00990568" w:rsidP="005839A8">
      <w:pPr>
        <w:spacing w:line="360" w:lineRule="auto"/>
        <w:jc w:val="both"/>
        <w:rPr>
          <w:rFonts w:eastAsia="Calibri"/>
          <w:i/>
          <w:iCs/>
          <w:szCs w:val="24"/>
          <w:lang w:eastAsia="en-US"/>
        </w:rPr>
      </w:pPr>
      <w:r w:rsidRPr="00905AD2">
        <w:rPr>
          <w:rFonts w:eastAsia="Calibri"/>
          <w:b/>
          <w:bCs/>
          <w:i/>
          <w:iCs/>
          <w:szCs w:val="24"/>
          <w:lang w:eastAsia="en-US"/>
        </w:rPr>
        <w:t>ПОЯСНЕНИЕ</w:t>
      </w:r>
      <w:r w:rsidRPr="00905AD2">
        <w:rPr>
          <w:rFonts w:eastAsia="Calibri"/>
          <w:i/>
          <w:iCs/>
          <w:szCs w:val="24"/>
          <w:lang w:eastAsia="en-US"/>
        </w:rPr>
        <w:t xml:space="preserve">: </w:t>
      </w:r>
    </w:p>
    <w:p w:rsidR="00932D96" w:rsidRPr="00905AD2" w:rsidRDefault="00932D96" w:rsidP="005839A8">
      <w:pPr>
        <w:spacing w:line="360" w:lineRule="auto"/>
        <w:jc w:val="both"/>
        <w:rPr>
          <w:rFonts w:eastAsia="Calibri"/>
          <w:i/>
          <w:iCs/>
          <w:szCs w:val="24"/>
          <w:lang w:eastAsia="en-US"/>
        </w:rPr>
      </w:pPr>
      <w:r w:rsidRPr="00905AD2">
        <w:rPr>
          <w:rFonts w:eastAsia="Calibri"/>
          <w:i/>
          <w:iCs/>
          <w:szCs w:val="24"/>
          <w:lang w:eastAsia="en-US"/>
        </w:rPr>
        <w:t xml:space="preserve">Основанията по чл.54, ал.1,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C76B26" w:rsidRPr="00905AD2" w:rsidRDefault="00C76B26" w:rsidP="005839A8">
      <w:pPr>
        <w:spacing w:line="360" w:lineRule="auto"/>
        <w:rPr>
          <w:rFonts w:eastAsia="Calibri"/>
          <w:b/>
          <w:i/>
          <w:szCs w:val="24"/>
          <w:lang w:eastAsia="en-US"/>
        </w:rPr>
      </w:pPr>
      <w:r w:rsidRPr="00905AD2">
        <w:rPr>
          <w:rFonts w:eastAsia="Calibri"/>
          <w:b/>
          <w:i/>
          <w:szCs w:val="24"/>
          <w:lang w:eastAsia="en-US"/>
        </w:rPr>
        <w:br w:type="page"/>
      </w: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AF19E9" w:rsidRPr="008809A4" w:rsidRDefault="00AF19E9" w:rsidP="005839A8">
      <w:pPr>
        <w:autoSpaceDE w:val="0"/>
        <w:autoSpaceDN w:val="0"/>
        <w:adjustRightInd w:val="0"/>
        <w:spacing w:line="360" w:lineRule="auto"/>
        <w:jc w:val="center"/>
        <w:rPr>
          <w:rFonts w:eastAsia="Verdana-Bold"/>
          <w:bCs/>
          <w:sz w:val="28"/>
          <w:szCs w:val="28"/>
          <w:lang w:eastAsia="en-US"/>
        </w:rPr>
      </w:pPr>
    </w:p>
    <w:p w:rsidR="003A50C9" w:rsidRPr="003A50C9" w:rsidRDefault="003A50C9" w:rsidP="005839A8">
      <w:pPr>
        <w:spacing w:line="360" w:lineRule="auto"/>
        <w:contextualSpacing/>
        <w:jc w:val="center"/>
        <w:rPr>
          <w:rFonts w:eastAsia="Calibri"/>
          <w:b/>
          <w:bCs/>
          <w:szCs w:val="24"/>
          <w:lang w:eastAsia="en-US"/>
        </w:rPr>
      </w:pPr>
      <w:r w:rsidRPr="003A50C9">
        <w:rPr>
          <w:rFonts w:eastAsia="Calibri"/>
          <w:b/>
          <w:bCs/>
          <w:szCs w:val="24"/>
          <w:lang w:eastAsia="en-US"/>
        </w:rPr>
        <w:t>ДЕКЛАРАЦИЯ</w:t>
      </w:r>
    </w:p>
    <w:p w:rsidR="004A1B71" w:rsidRDefault="004A1B71" w:rsidP="004A1B71">
      <w:pPr>
        <w:spacing w:line="360" w:lineRule="auto"/>
        <w:ind w:left="851"/>
        <w:jc w:val="center"/>
        <w:rPr>
          <w:color w:val="000000"/>
          <w:szCs w:val="24"/>
          <w:lang w:eastAsia="en-GB"/>
        </w:rPr>
      </w:pPr>
      <w:r>
        <w:rPr>
          <w:color w:val="000000"/>
          <w:szCs w:val="24"/>
          <w:lang w:eastAsia="en-GB"/>
        </w:rPr>
        <w:t xml:space="preserve">по </w:t>
      </w:r>
      <w:r w:rsidRPr="00C81A4E">
        <w:rPr>
          <w:color w:val="000000"/>
          <w:szCs w:val="24"/>
          <w:lang w:eastAsia="en-GB"/>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Pr>
          <w:color w:val="000000"/>
          <w:szCs w:val="24"/>
          <w:lang w:eastAsia="en-GB"/>
        </w:rPr>
        <w:t xml:space="preserve"> собственици</w:t>
      </w:r>
    </w:p>
    <w:p w:rsidR="003A50C9" w:rsidRPr="003A50C9" w:rsidRDefault="003A50C9" w:rsidP="005839A8">
      <w:pPr>
        <w:spacing w:line="360" w:lineRule="auto"/>
        <w:contextualSpacing/>
        <w:jc w:val="both"/>
        <w:rPr>
          <w:rFonts w:eastAsia="Calibri"/>
          <w:b/>
          <w:bCs/>
          <w:sz w:val="16"/>
          <w:szCs w:val="16"/>
          <w:lang w:eastAsia="en-US"/>
        </w:rPr>
      </w:pPr>
    </w:p>
    <w:p w:rsidR="003A50C9" w:rsidRPr="003A50C9" w:rsidRDefault="003A50C9" w:rsidP="005839A8">
      <w:pPr>
        <w:spacing w:line="360" w:lineRule="auto"/>
        <w:contextualSpacing/>
        <w:jc w:val="both"/>
        <w:rPr>
          <w:rFonts w:eastAsia="Calibri"/>
          <w:szCs w:val="24"/>
          <w:lang w:eastAsia="en-US"/>
        </w:rPr>
      </w:pPr>
      <w:r w:rsidRPr="003A50C9">
        <w:rPr>
          <w:rFonts w:eastAsia="Calibri"/>
          <w:spacing w:val="2"/>
          <w:w w:val="111"/>
          <w:szCs w:val="24"/>
          <w:lang w:eastAsia="en-US"/>
        </w:rPr>
        <w:t>Подписаният: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spacing w:line="360" w:lineRule="auto"/>
        <w:contextualSpacing/>
        <w:jc w:val="center"/>
        <w:rPr>
          <w:rFonts w:eastAsia="Calibri"/>
          <w:i/>
          <w:spacing w:val="4"/>
          <w:sz w:val="22"/>
          <w:szCs w:val="22"/>
          <w:lang w:eastAsia="en-US"/>
        </w:rPr>
      </w:pPr>
      <w:r w:rsidRPr="003A50C9">
        <w:rPr>
          <w:rFonts w:eastAsia="Calibri"/>
          <w:i/>
          <w:spacing w:val="4"/>
          <w:sz w:val="22"/>
          <w:szCs w:val="22"/>
          <w:lang w:eastAsia="en-US"/>
        </w:rPr>
        <w:t>(трите имена)</w:t>
      </w:r>
    </w:p>
    <w:p w:rsidR="003A50C9" w:rsidRPr="003A50C9" w:rsidRDefault="003A50C9" w:rsidP="005839A8">
      <w:pPr>
        <w:tabs>
          <w:tab w:val="left" w:leader="dot" w:pos="6588"/>
        </w:tabs>
        <w:spacing w:line="360" w:lineRule="auto"/>
        <w:contextualSpacing/>
        <w:jc w:val="both"/>
        <w:rPr>
          <w:rFonts w:eastAsia="Calibri"/>
          <w:szCs w:val="24"/>
          <w:lang w:eastAsia="en-US"/>
        </w:rPr>
      </w:pPr>
      <w:r w:rsidRPr="003A50C9">
        <w:rPr>
          <w:rFonts w:eastAsia="Calibri"/>
          <w:spacing w:val="5"/>
          <w:w w:val="111"/>
          <w:szCs w:val="24"/>
          <w:lang w:eastAsia="en-US"/>
        </w:rPr>
        <w:t xml:space="preserve">в качеството си на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tabs>
          <w:tab w:val="left" w:leader="dot" w:pos="6588"/>
        </w:tabs>
        <w:spacing w:line="360" w:lineRule="auto"/>
        <w:contextualSpacing/>
        <w:jc w:val="center"/>
        <w:rPr>
          <w:rFonts w:eastAsia="Calibri"/>
          <w:i/>
          <w:sz w:val="22"/>
          <w:szCs w:val="22"/>
          <w:lang w:eastAsia="en-US"/>
        </w:rPr>
      </w:pPr>
      <w:r w:rsidRPr="003A50C9">
        <w:rPr>
          <w:rFonts w:eastAsia="Calibri"/>
          <w:i/>
          <w:spacing w:val="3"/>
          <w:sz w:val="22"/>
          <w:szCs w:val="22"/>
          <w:lang w:eastAsia="en-US"/>
        </w:rPr>
        <w:t>(длъжност)</w:t>
      </w:r>
    </w:p>
    <w:p w:rsidR="003A50C9" w:rsidRPr="003A50C9" w:rsidRDefault="003A50C9" w:rsidP="005839A8">
      <w:pPr>
        <w:spacing w:line="360" w:lineRule="auto"/>
        <w:contextualSpacing/>
        <w:jc w:val="both"/>
        <w:rPr>
          <w:rFonts w:eastAsia="Calibri"/>
          <w:szCs w:val="24"/>
          <w:lang w:eastAsia="en-US"/>
        </w:rPr>
      </w:pPr>
      <w:r w:rsidRPr="003A50C9">
        <w:rPr>
          <w:rFonts w:eastAsia="Calibri"/>
          <w:szCs w:val="24"/>
          <w:lang w:eastAsia="en-US"/>
        </w:rPr>
        <w:t>На участник</w:t>
      </w:r>
      <w:r w:rsidRPr="003A50C9">
        <w:rPr>
          <w:rFonts w:eastAsia="Calibri"/>
          <w:spacing w:val="3"/>
          <w:w w:val="120"/>
          <w:szCs w:val="24"/>
          <w:lang w:eastAsia="en-US"/>
        </w:rPr>
        <w:t xml:space="preserve">: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 xml:space="preserve">………………………………, </w:t>
      </w:r>
    </w:p>
    <w:p w:rsidR="004A1B71" w:rsidRPr="004A1B71" w:rsidRDefault="004A1B71" w:rsidP="004A1B71">
      <w:pPr>
        <w:spacing w:line="360" w:lineRule="auto"/>
        <w:jc w:val="both"/>
        <w:rPr>
          <w:rFonts w:eastAsia="Calibri"/>
          <w:szCs w:val="24"/>
          <w:lang w:eastAsia="en-US"/>
        </w:rPr>
      </w:pPr>
      <w:r>
        <w:rPr>
          <w:rFonts w:eastAsia="Calibri"/>
          <w:szCs w:val="24"/>
          <w:lang w:eastAsia="en-US"/>
        </w:rPr>
        <w:t xml:space="preserve">в </w:t>
      </w:r>
      <w:r w:rsidRPr="00905AD2">
        <w:rPr>
          <w:rFonts w:eastAsia="Calibri"/>
          <w:szCs w:val="24"/>
          <w:lang w:eastAsia="en-US"/>
        </w:rPr>
        <w:t>процедура за възлагане на обществена поръчка с предмет</w:t>
      </w:r>
      <w:r w:rsidRPr="004A1B71">
        <w:rPr>
          <w:rFonts w:eastAsia="Calibri"/>
          <w:szCs w:val="24"/>
          <w:lang w:eastAsia="en-US"/>
        </w:rPr>
        <w:t xml:space="preserve">: </w:t>
      </w:r>
      <w:r w:rsidR="006C6E4E" w:rsidRPr="006C6E4E">
        <w:rPr>
          <w:bCs/>
          <w:szCs w:val="24"/>
        </w:rPr>
        <w:t>„</w:t>
      </w:r>
      <w:r w:rsidR="006C6E4E" w:rsidRPr="006C6E4E">
        <w:rPr>
          <w:bCs/>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6C6E4E" w:rsidRPr="006C6E4E">
        <w:rPr>
          <w:bCs/>
          <w:szCs w:val="24"/>
        </w:rPr>
        <w:t>Мин</w:t>
      </w:r>
      <w:r w:rsidR="006C6E4E">
        <w:rPr>
          <w:bCs/>
          <w:szCs w:val="24"/>
        </w:rPr>
        <w:t>истерството на здравеопазването</w:t>
      </w:r>
      <w:r w:rsidRPr="004A1B71">
        <w:rPr>
          <w:rFonts w:eastAsia="Calibri"/>
          <w:szCs w:val="24"/>
          <w:lang w:eastAsia="en-US"/>
        </w:rPr>
        <w:t>,</w:t>
      </w:r>
    </w:p>
    <w:p w:rsidR="00CA6413" w:rsidRDefault="00CA6413" w:rsidP="005839A8">
      <w:pPr>
        <w:spacing w:line="360" w:lineRule="auto"/>
        <w:contextualSpacing/>
        <w:jc w:val="both"/>
        <w:rPr>
          <w:rFonts w:eastAsia="Calibri"/>
          <w:i/>
          <w:szCs w:val="24"/>
          <w:lang w:eastAsia="en-US"/>
        </w:rPr>
      </w:pPr>
    </w:p>
    <w:p w:rsidR="00965D28" w:rsidRPr="00CA6413" w:rsidRDefault="00965D28" w:rsidP="005839A8">
      <w:pPr>
        <w:spacing w:line="360" w:lineRule="auto"/>
        <w:contextualSpacing/>
        <w:jc w:val="both"/>
        <w:rPr>
          <w:rFonts w:eastAsia="Calibri"/>
          <w:i/>
          <w:szCs w:val="24"/>
          <w:lang w:eastAsia="en-US"/>
        </w:rPr>
      </w:pPr>
    </w:p>
    <w:p w:rsidR="003A50C9" w:rsidRPr="003A50C9" w:rsidRDefault="003A50C9" w:rsidP="005839A8">
      <w:pPr>
        <w:spacing w:line="360" w:lineRule="auto"/>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3A50C9" w:rsidRDefault="003A50C9" w:rsidP="005839A8">
      <w:pPr>
        <w:spacing w:line="360" w:lineRule="auto"/>
        <w:contextualSpacing/>
        <w:jc w:val="center"/>
        <w:rPr>
          <w:rFonts w:eastAsia="Calibri"/>
          <w:b/>
          <w:bCs/>
          <w:spacing w:val="-4"/>
          <w:szCs w:val="24"/>
          <w:lang w:eastAsia="en-US"/>
        </w:rPr>
      </w:pPr>
    </w:p>
    <w:p w:rsidR="00CA6413" w:rsidRPr="00CA6413" w:rsidRDefault="00CA6413" w:rsidP="005839A8">
      <w:pPr>
        <w:spacing w:line="360" w:lineRule="auto"/>
        <w:contextualSpacing/>
        <w:jc w:val="center"/>
        <w:rPr>
          <w:rFonts w:eastAsia="Calibri"/>
          <w:b/>
          <w:bCs/>
          <w:spacing w:val="-4"/>
          <w:szCs w:val="24"/>
          <w:lang w:eastAsia="en-US"/>
        </w:rPr>
      </w:pPr>
    </w:p>
    <w:p w:rsidR="003A50C9" w:rsidRPr="003A50C9" w:rsidRDefault="003A50C9" w:rsidP="005839A8">
      <w:pPr>
        <w:numPr>
          <w:ilvl w:val="0"/>
          <w:numId w:val="10"/>
        </w:numPr>
        <w:spacing w:line="360" w:lineRule="auto"/>
        <w:contextualSpacing/>
        <w:jc w:val="both"/>
        <w:rPr>
          <w:rFonts w:eastAsia="Calibri"/>
          <w:szCs w:val="24"/>
          <w:lang w:eastAsia="en-US"/>
        </w:rPr>
      </w:pPr>
      <w:r w:rsidRPr="003A50C9">
        <w:rPr>
          <w:rFonts w:eastAsia="Calibri"/>
          <w:szCs w:val="24"/>
          <w:lang w:eastAsia="en-US"/>
        </w:rPr>
        <w:t>Представляваното от мен дружество</w:t>
      </w:r>
      <w:r w:rsidRPr="003A50C9">
        <w:rPr>
          <w:rFonts w:eastAsia="Calibri"/>
          <w:sz w:val="20"/>
          <w:lang w:eastAsia="en-US"/>
        </w:rPr>
        <w:t>*</w:t>
      </w:r>
      <w:r w:rsidRPr="003A50C9">
        <w:rPr>
          <w:rFonts w:eastAsia="Calibri"/>
          <w:szCs w:val="24"/>
          <w:lang w:eastAsia="en-US"/>
        </w:rPr>
        <w:t xml:space="preserve"> не е регистрирано в юрисдикции с преференциален данъчен режим.</w:t>
      </w:r>
    </w:p>
    <w:p w:rsidR="003A50C9" w:rsidRPr="003A50C9" w:rsidRDefault="003A50C9" w:rsidP="005839A8">
      <w:pPr>
        <w:numPr>
          <w:ilvl w:val="0"/>
          <w:numId w:val="10"/>
        </w:numPr>
        <w:spacing w:line="360" w:lineRule="auto"/>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3A50C9" w:rsidRPr="003A50C9" w:rsidRDefault="003A50C9" w:rsidP="005839A8">
      <w:pPr>
        <w:spacing w:line="360" w:lineRule="auto"/>
        <w:jc w:val="both"/>
        <w:rPr>
          <w:rFonts w:eastAsia="Calibri"/>
          <w:sz w:val="16"/>
          <w:szCs w:val="16"/>
          <w:lang w:eastAsia="en-US"/>
        </w:rPr>
      </w:pPr>
    </w:p>
    <w:p w:rsidR="00F711B0" w:rsidRPr="004A1B71" w:rsidRDefault="00F711B0" w:rsidP="005839A8">
      <w:pPr>
        <w:spacing w:line="360" w:lineRule="auto"/>
        <w:ind w:firstLine="708"/>
        <w:jc w:val="both"/>
        <w:rPr>
          <w:szCs w:val="24"/>
        </w:rPr>
      </w:pPr>
      <w:r w:rsidRPr="004A1B71">
        <w:rPr>
          <w:szCs w:val="24"/>
        </w:rPr>
        <w:t>Известна ми е предвидената в чл. 313 от Наказателния кодекс отговорност за вписване на неверни данни в настоящата декларация.</w:t>
      </w:r>
    </w:p>
    <w:p w:rsidR="00F711B0" w:rsidRPr="004A1B71" w:rsidRDefault="00F711B0" w:rsidP="005839A8">
      <w:pPr>
        <w:spacing w:line="360" w:lineRule="auto"/>
        <w:jc w:val="both"/>
        <w:rPr>
          <w:szCs w:val="24"/>
        </w:rPr>
      </w:pPr>
    </w:p>
    <w:p w:rsidR="00AF19E9" w:rsidRPr="00905AD2" w:rsidRDefault="00AF19E9" w:rsidP="005839A8">
      <w:pPr>
        <w:spacing w:line="360" w:lineRule="auto"/>
        <w:jc w:val="both"/>
        <w:rPr>
          <w:b/>
          <w:szCs w:val="24"/>
        </w:rPr>
      </w:pPr>
    </w:p>
    <w:p w:rsidR="00AF19E9" w:rsidRPr="00F711B0" w:rsidRDefault="00AF19E9" w:rsidP="005839A8">
      <w:pPr>
        <w:spacing w:line="360" w:lineRule="auto"/>
        <w:jc w:val="both"/>
        <w:rPr>
          <w:b/>
          <w:szCs w:val="24"/>
        </w:rPr>
      </w:pPr>
    </w:p>
    <w:p w:rsidR="004A1B71" w:rsidRPr="00905AD2" w:rsidRDefault="004A1B71" w:rsidP="004A1B71">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4A1B71" w:rsidRPr="00905AD2" w:rsidRDefault="004A1B71" w:rsidP="004A1B71">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4A1B71" w:rsidRPr="00905AD2" w:rsidRDefault="004A1B71" w:rsidP="004A1B71">
      <w:pPr>
        <w:spacing w:line="360" w:lineRule="auto"/>
        <w:rPr>
          <w:color w:val="000000"/>
          <w:szCs w:val="24"/>
          <w:lang w:eastAsia="en-GB"/>
        </w:rPr>
      </w:pPr>
      <w:r w:rsidRPr="00905AD2">
        <w:rPr>
          <w:color w:val="000000"/>
          <w:szCs w:val="24"/>
          <w:lang w:eastAsia="en-GB"/>
        </w:rPr>
        <w:br w:type="page"/>
      </w:r>
    </w:p>
    <w:p w:rsidR="00B24283" w:rsidRPr="00B24283" w:rsidRDefault="00B24283" w:rsidP="00F52762">
      <w:pPr>
        <w:spacing w:line="360" w:lineRule="auto"/>
        <w:ind w:left="6044" w:firstLine="436"/>
        <w:jc w:val="right"/>
        <w:rPr>
          <w:rFonts w:eastAsia="Calibri"/>
          <w:b/>
          <w:bCs/>
          <w:i/>
          <w:szCs w:val="24"/>
          <w:lang w:eastAsia="en-US"/>
        </w:rPr>
      </w:pPr>
      <w:r w:rsidRPr="00B24283">
        <w:rPr>
          <w:rFonts w:eastAsia="Calibri"/>
          <w:b/>
          <w:bCs/>
          <w:i/>
          <w:szCs w:val="24"/>
          <w:lang w:eastAsia="en-US"/>
        </w:rPr>
        <w:lastRenderedPageBreak/>
        <w:t xml:space="preserve">ОБРАЗЕЦ </w:t>
      </w:r>
    </w:p>
    <w:p w:rsidR="00B24283" w:rsidRPr="00B24283" w:rsidRDefault="00B24283" w:rsidP="005839A8">
      <w:pPr>
        <w:tabs>
          <w:tab w:val="left" w:pos="0"/>
          <w:tab w:val="center" w:pos="4890"/>
        </w:tabs>
        <w:spacing w:line="360" w:lineRule="auto"/>
        <w:jc w:val="center"/>
        <w:rPr>
          <w:rFonts w:eastAsia="Calibri"/>
          <w:b/>
          <w:i/>
          <w:szCs w:val="24"/>
          <w:lang w:eastAsia="en-US"/>
        </w:rPr>
      </w:pPr>
      <w:r w:rsidRPr="00B24283">
        <w:rPr>
          <w:rFonts w:eastAsia="Calibri"/>
          <w:b/>
          <w:i/>
          <w:szCs w:val="24"/>
          <w:lang w:eastAsia="en-US"/>
        </w:rPr>
        <w:t>ТЕХНИЧЕСКО ПРЕДЛОЖЕНИЕ</w:t>
      </w:r>
    </w:p>
    <w:p w:rsidR="00B24283" w:rsidRPr="00B24283" w:rsidRDefault="00B24283" w:rsidP="005839A8">
      <w:pPr>
        <w:tabs>
          <w:tab w:val="left" w:pos="0"/>
          <w:tab w:val="center" w:pos="4890"/>
        </w:tabs>
        <w:spacing w:line="360" w:lineRule="auto"/>
        <w:rPr>
          <w:rFonts w:eastAsia="Calibri"/>
          <w:b/>
          <w:i/>
          <w:szCs w:val="24"/>
          <w:lang w:eastAsia="en-US"/>
        </w:rPr>
      </w:pPr>
    </w:p>
    <w:p w:rsidR="00CA6CB9" w:rsidRPr="00A64264" w:rsidRDefault="00B24283" w:rsidP="00F52762">
      <w:pPr>
        <w:tabs>
          <w:tab w:val="left" w:pos="0"/>
          <w:tab w:val="center" w:pos="4890"/>
        </w:tabs>
        <w:spacing w:line="360" w:lineRule="auto"/>
        <w:jc w:val="both"/>
        <w:rPr>
          <w:rFonts w:eastAsia="Calibri"/>
          <w:i/>
          <w:szCs w:val="24"/>
          <w:lang w:eastAsia="en-US"/>
        </w:rPr>
      </w:pPr>
      <w:r w:rsidRPr="00A64264">
        <w:rPr>
          <w:rFonts w:eastAsia="Calibri"/>
          <w:i/>
          <w:szCs w:val="24"/>
          <w:lang w:eastAsia="en-US"/>
        </w:rPr>
        <w:t>по обществена поръчка с предмет:</w:t>
      </w:r>
      <w:r w:rsidR="00F52762" w:rsidRPr="00A64264">
        <w:rPr>
          <w:rFonts w:eastAsia="Calibri"/>
          <w:i/>
          <w:szCs w:val="24"/>
          <w:lang w:val="en-US" w:eastAsia="en-US"/>
        </w:rPr>
        <w:t xml:space="preserve"> </w:t>
      </w:r>
      <w:r w:rsidR="006C6E4E" w:rsidRPr="006C6E4E">
        <w:rPr>
          <w:bCs/>
          <w:i/>
          <w:szCs w:val="24"/>
        </w:rPr>
        <w:t>„</w:t>
      </w:r>
      <w:r w:rsidR="006C6E4E" w:rsidRPr="006C6E4E">
        <w:rPr>
          <w:bCs/>
          <w:i/>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6C6E4E" w:rsidRPr="006C6E4E">
        <w:rPr>
          <w:bCs/>
          <w:i/>
          <w:szCs w:val="24"/>
        </w:rPr>
        <w:t>Мин</w:t>
      </w:r>
      <w:r w:rsidR="006C6E4E">
        <w:rPr>
          <w:bCs/>
          <w:i/>
          <w:szCs w:val="24"/>
        </w:rPr>
        <w:t>истерството на здравеопазването</w:t>
      </w:r>
      <w:r w:rsidR="00CA6CB9" w:rsidRPr="00A64264">
        <w:rPr>
          <w:bCs/>
          <w:i/>
          <w:szCs w:val="24"/>
        </w:rPr>
        <w:t>,</w:t>
      </w:r>
    </w:p>
    <w:p w:rsidR="006C6E4E" w:rsidRDefault="006C6E4E" w:rsidP="005839A8">
      <w:pPr>
        <w:tabs>
          <w:tab w:val="left" w:pos="0"/>
          <w:tab w:val="center" w:pos="4890"/>
        </w:tabs>
        <w:spacing w:line="360" w:lineRule="auto"/>
        <w:rPr>
          <w:rFonts w:eastAsia="Calibri"/>
          <w:b/>
          <w:i/>
          <w:szCs w:val="24"/>
          <w:lang w:eastAsia="en-US"/>
        </w:rPr>
      </w:pPr>
    </w:p>
    <w:p w:rsidR="006C6E4E" w:rsidRDefault="006C6E4E" w:rsidP="005839A8">
      <w:pPr>
        <w:tabs>
          <w:tab w:val="left" w:pos="0"/>
          <w:tab w:val="center" w:pos="4890"/>
        </w:tabs>
        <w:spacing w:line="360" w:lineRule="auto"/>
        <w:rPr>
          <w:rFonts w:eastAsia="Calibri"/>
          <w:b/>
          <w:i/>
          <w:szCs w:val="24"/>
          <w:lang w:eastAsia="en-US"/>
        </w:rPr>
      </w:pPr>
    </w:p>
    <w:p w:rsidR="00B24283" w:rsidRPr="00B24283" w:rsidRDefault="00B24283" w:rsidP="005839A8">
      <w:pPr>
        <w:tabs>
          <w:tab w:val="left" w:pos="0"/>
          <w:tab w:val="center" w:pos="4890"/>
        </w:tabs>
        <w:spacing w:line="360" w:lineRule="auto"/>
        <w:rPr>
          <w:rFonts w:eastAsia="Calibri"/>
          <w:b/>
          <w:i/>
          <w:szCs w:val="24"/>
          <w:lang w:eastAsia="en-US"/>
        </w:rPr>
      </w:pPr>
      <w:r w:rsidRPr="00B24283">
        <w:rPr>
          <w:rFonts w:eastAsia="Calibri"/>
          <w:b/>
          <w:i/>
          <w:szCs w:val="24"/>
          <w:lang w:eastAsia="en-US"/>
        </w:rPr>
        <w:t>Съдържание:</w:t>
      </w:r>
    </w:p>
    <w:p w:rsidR="006C6E4E" w:rsidRDefault="00B24283" w:rsidP="00F52762">
      <w:pPr>
        <w:tabs>
          <w:tab w:val="left" w:pos="0"/>
          <w:tab w:val="center" w:pos="4890"/>
        </w:tabs>
        <w:spacing w:line="360" w:lineRule="auto"/>
        <w:jc w:val="both"/>
        <w:rPr>
          <w:rFonts w:eastAsia="Calibri"/>
          <w:szCs w:val="24"/>
          <w:lang w:eastAsia="en-US"/>
        </w:rPr>
      </w:pPr>
      <w:r w:rsidRPr="00B24283">
        <w:rPr>
          <w:rFonts w:eastAsia="Calibri"/>
          <w:szCs w:val="24"/>
          <w:lang w:eastAsia="en-US"/>
        </w:rPr>
        <w:t xml:space="preserve">1. </w:t>
      </w:r>
      <w:r w:rsidR="006C6E4E" w:rsidRPr="00F52762">
        <w:rPr>
          <w:rFonts w:eastAsia="Calibri"/>
          <w:szCs w:val="24"/>
          <w:lang w:eastAsia="en-US"/>
        </w:rPr>
        <w:t>Декларация по чл. 47, ал. 3 от Закона за обществените поръчки</w:t>
      </w:r>
      <w:r w:rsidR="006C6E4E" w:rsidRPr="00B24283">
        <w:rPr>
          <w:rFonts w:eastAsia="Calibri"/>
          <w:szCs w:val="24"/>
          <w:lang w:eastAsia="en-US"/>
        </w:rPr>
        <w:t xml:space="preserve"> </w:t>
      </w:r>
    </w:p>
    <w:p w:rsidR="00B24283" w:rsidRPr="00B24283" w:rsidRDefault="006C6E4E" w:rsidP="00F52762">
      <w:pPr>
        <w:tabs>
          <w:tab w:val="left" w:pos="0"/>
          <w:tab w:val="center" w:pos="4890"/>
        </w:tabs>
        <w:spacing w:line="360" w:lineRule="auto"/>
        <w:jc w:val="both"/>
        <w:rPr>
          <w:rFonts w:eastAsia="Calibri"/>
          <w:szCs w:val="24"/>
          <w:lang w:eastAsia="en-US"/>
        </w:rPr>
      </w:pPr>
      <w:r>
        <w:rPr>
          <w:rFonts w:eastAsia="Calibri"/>
          <w:szCs w:val="24"/>
          <w:lang w:eastAsia="en-US"/>
        </w:rPr>
        <w:t xml:space="preserve">2. </w:t>
      </w:r>
      <w:r w:rsidR="00B24283" w:rsidRPr="00B24283">
        <w:rPr>
          <w:rFonts w:eastAsia="Calibri"/>
          <w:szCs w:val="24"/>
          <w:lang w:eastAsia="en-US"/>
        </w:rPr>
        <w:t>Документ за упълномощаване, когато лицето, което подава офертата, не е законният представител на участника.</w:t>
      </w:r>
    </w:p>
    <w:p w:rsidR="00B24283" w:rsidRPr="00B24283" w:rsidRDefault="006C6E4E" w:rsidP="005839A8">
      <w:pPr>
        <w:tabs>
          <w:tab w:val="left" w:pos="0"/>
          <w:tab w:val="center" w:pos="4890"/>
        </w:tabs>
        <w:spacing w:line="360" w:lineRule="auto"/>
        <w:rPr>
          <w:rFonts w:eastAsia="Calibri"/>
          <w:szCs w:val="24"/>
          <w:lang w:eastAsia="en-US"/>
        </w:rPr>
      </w:pPr>
      <w:r>
        <w:rPr>
          <w:rFonts w:eastAsia="Calibri"/>
          <w:szCs w:val="24"/>
          <w:lang w:eastAsia="en-US"/>
        </w:rPr>
        <w:t>3</w:t>
      </w:r>
      <w:r w:rsidR="00B24283" w:rsidRPr="00B24283">
        <w:rPr>
          <w:rFonts w:eastAsia="Calibri"/>
          <w:szCs w:val="24"/>
          <w:lang w:eastAsia="en-US"/>
        </w:rPr>
        <w:t xml:space="preserve">. </w:t>
      </w:r>
      <w:r>
        <w:rPr>
          <w:rFonts w:eastAsia="Calibri"/>
          <w:szCs w:val="24"/>
          <w:lang w:eastAsia="en-US"/>
        </w:rPr>
        <w:t>П</w:t>
      </w:r>
      <w:r w:rsidRPr="006C6E4E">
        <w:rPr>
          <w:rFonts w:eastAsia="Calibri"/>
          <w:szCs w:val="24"/>
          <w:lang w:eastAsia="en-US"/>
        </w:rPr>
        <w:t>редложение за изпълнение на поръчката в съответствие с техническите спецификации и изискванията на възложителя</w:t>
      </w:r>
      <w:r w:rsidR="00B24283" w:rsidRPr="00B24283">
        <w:rPr>
          <w:rFonts w:eastAsia="Calibri"/>
          <w:szCs w:val="24"/>
          <w:lang w:eastAsia="en-US"/>
        </w:rPr>
        <w:t>.</w:t>
      </w:r>
    </w:p>
    <w:p w:rsidR="00B24283" w:rsidRDefault="006C6E4E" w:rsidP="005839A8">
      <w:pPr>
        <w:tabs>
          <w:tab w:val="left" w:pos="0"/>
          <w:tab w:val="center" w:pos="4890"/>
        </w:tabs>
        <w:spacing w:line="360" w:lineRule="auto"/>
        <w:rPr>
          <w:rFonts w:eastAsia="Calibri"/>
          <w:szCs w:val="24"/>
          <w:lang w:eastAsia="en-US"/>
        </w:rPr>
      </w:pPr>
      <w:r>
        <w:rPr>
          <w:rFonts w:eastAsia="Calibri"/>
          <w:szCs w:val="24"/>
          <w:lang w:eastAsia="en-US"/>
        </w:rPr>
        <w:t>4</w:t>
      </w:r>
      <w:r w:rsidR="00B24283" w:rsidRPr="00B24283">
        <w:rPr>
          <w:rFonts w:eastAsia="Calibri"/>
          <w:szCs w:val="24"/>
          <w:lang w:eastAsia="en-US"/>
        </w:rPr>
        <w:t>. Декларация за съгласие с клаузите на приложения проект на договор.</w:t>
      </w:r>
    </w:p>
    <w:p w:rsidR="005A384C" w:rsidRPr="00B24283" w:rsidRDefault="005A384C" w:rsidP="005839A8">
      <w:pPr>
        <w:tabs>
          <w:tab w:val="left" w:pos="0"/>
          <w:tab w:val="center" w:pos="4890"/>
        </w:tabs>
        <w:spacing w:line="360" w:lineRule="auto"/>
        <w:rPr>
          <w:rFonts w:eastAsia="Calibri"/>
          <w:szCs w:val="24"/>
          <w:lang w:eastAsia="en-US"/>
        </w:rPr>
      </w:pPr>
      <w:r>
        <w:rPr>
          <w:rFonts w:eastAsia="Calibri"/>
          <w:szCs w:val="24"/>
          <w:lang w:eastAsia="en-US"/>
        </w:rPr>
        <w:t>5. Д</w:t>
      </w:r>
      <w:r w:rsidRPr="005A384C">
        <w:rPr>
          <w:rFonts w:eastAsia="Calibri"/>
          <w:szCs w:val="24"/>
          <w:lang w:eastAsia="en-US"/>
        </w:rPr>
        <w:t>екларацията за непрекъснатост</w:t>
      </w:r>
      <w:r>
        <w:rPr>
          <w:rFonts w:eastAsia="Calibri"/>
          <w:szCs w:val="24"/>
          <w:lang w:eastAsia="en-US"/>
        </w:rPr>
        <w:t>.</w:t>
      </w:r>
    </w:p>
    <w:p w:rsidR="00B24283" w:rsidRPr="00B24283" w:rsidRDefault="006C6E4E" w:rsidP="005839A8">
      <w:pPr>
        <w:tabs>
          <w:tab w:val="left" w:pos="0"/>
          <w:tab w:val="center" w:pos="4890"/>
        </w:tabs>
        <w:spacing w:line="360" w:lineRule="auto"/>
        <w:rPr>
          <w:rFonts w:eastAsia="Calibri"/>
          <w:szCs w:val="24"/>
          <w:lang w:eastAsia="en-US"/>
        </w:rPr>
      </w:pPr>
      <w:r>
        <w:rPr>
          <w:rFonts w:eastAsia="Calibri"/>
          <w:szCs w:val="24"/>
          <w:lang w:eastAsia="en-US"/>
        </w:rPr>
        <w:t>5</w:t>
      </w:r>
      <w:r w:rsidR="00B24283" w:rsidRPr="00B24283">
        <w:rPr>
          <w:rFonts w:eastAsia="Calibri"/>
          <w:szCs w:val="24"/>
          <w:lang w:eastAsia="en-US"/>
        </w:rPr>
        <w:t>. Декларация за срока на валидност на офертата.</w:t>
      </w:r>
    </w:p>
    <w:p w:rsidR="00B24283" w:rsidRPr="00B24283" w:rsidRDefault="00B24283" w:rsidP="005839A8">
      <w:pPr>
        <w:tabs>
          <w:tab w:val="left" w:pos="0"/>
          <w:tab w:val="center" w:pos="4890"/>
        </w:tabs>
        <w:spacing w:line="360" w:lineRule="auto"/>
        <w:rPr>
          <w:rFonts w:eastAsia="Calibri"/>
          <w:szCs w:val="24"/>
          <w:lang w:eastAsia="en-US"/>
        </w:rPr>
      </w:pPr>
    </w:p>
    <w:p w:rsidR="00B24283" w:rsidRPr="00B24283" w:rsidRDefault="00B24283" w:rsidP="005839A8">
      <w:pPr>
        <w:tabs>
          <w:tab w:val="left" w:pos="0"/>
          <w:tab w:val="center" w:pos="4890"/>
        </w:tabs>
        <w:spacing w:line="360" w:lineRule="auto"/>
        <w:rPr>
          <w:rFonts w:eastAsia="Calibri"/>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Default="00B24283" w:rsidP="005839A8">
      <w:pPr>
        <w:tabs>
          <w:tab w:val="left" w:pos="0"/>
          <w:tab w:val="center" w:pos="4890"/>
        </w:tabs>
        <w:spacing w:line="360" w:lineRule="auto"/>
        <w:jc w:val="center"/>
        <w:rPr>
          <w:rFonts w:eastAsia="Calibri"/>
          <w:b/>
          <w:szCs w:val="24"/>
          <w:lang w:eastAsia="en-US"/>
        </w:rPr>
      </w:pPr>
    </w:p>
    <w:p w:rsidR="00B24283" w:rsidRPr="00905AD2" w:rsidRDefault="00B24283" w:rsidP="005839A8">
      <w:pPr>
        <w:tabs>
          <w:tab w:val="left" w:pos="0"/>
          <w:tab w:val="center" w:pos="4890"/>
        </w:tabs>
        <w:spacing w:line="360" w:lineRule="auto"/>
        <w:jc w:val="center"/>
        <w:rPr>
          <w:rFonts w:eastAsia="Calibri"/>
          <w:b/>
          <w:szCs w:val="24"/>
          <w:lang w:eastAsia="en-US"/>
        </w:rPr>
      </w:pPr>
    </w:p>
    <w:p w:rsidR="004E1B92" w:rsidRPr="00905AD2" w:rsidRDefault="004E1B92" w:rsidP="005839A8">
      <w:pPr>
        <w:tabs>
          <w:tab w:val="left" w:pos="0"/>
          <w:tab w:val="center" w:pos="4890"/>
        </w:tabs>
        <w:spacing w:line="360" w:lineRule="auto"/>
        <w:jc w:val="center"/>
        <w:rPr>
          <w:rFonts w:eastAsia="Calibri"/>
          <w:b/>
          <w:szCs w:val="24"/>
          <w:lang w:eastAsia="en-US"/>
        </w:rPr>
      </w:pPr>
    </w:p>
    <w:p w:rsidR="00A64264" w:rsidRDefault="00A64264" w:rsidP="005839A8">
      <w:pPr>
        <w:tabs>
          <w:tab w:val="left" w:pos="0"/>
          <w:tab w:val="center" w:pos="4890"/>
        </w:tabs>
        <w:spacing w:line="360" w:lineRule="auto"/>
        <w:jc w:val="center"/>
        <w:rPr>
          <w:rFonts w:eastAsia="Calibri"/>
          <w:b/>
          <w:szCs w:val="24"/>
          <w:lang w:eastAsia="en-US"/>
        </w:rPr>
      </w:pPr>
    </w:p>
    <w:p w:rsidR="004E1B92" w:rsidRPr="00905AD2" w:rsidRDefault="00CE32DB" w:rsidP="005839A8">
      <w:pPr>
        <w:tabs>
          <w:tab w:val="left" w:pos="0"/>
          <w:tab w:val="center" w:pos="4890"/>
        </w:tabs>
        <w:spacing w:line="360" w:lineRule="auto"/>
        <w:jc w:val="center"/>
        <w:rPr>
          <w:rFonts w:eastAsia="Calibri"/>
          <w:b/>
          <w:szCs w:val="24"/>
          <w:lang w:eastAsia="en-US"/>
        </w:rPr>
      </w:pPr>
      <w:r>
        <w:rPr>
          <w:rFonts w:eastAsia="Calibri"/>
          <w:b/>
          <w:szCs w:val="24"/>
          <w:lang w:eastAsia="en-US"/>
        </w:rPr>
        <w:t>ПРЕДЛОЖЕНИЕ ЗА ИЗПЪЛНЕНИЕ НА ПОРЪЧКАТА</w:t>
      </w:r>
    </w:p>
    <w:p w:rsidR="004E1B92" w:rsidRPr="00905AD2" w:rsidRDefault="004E1B92" w:rsidP="005839A8">
      <w:pPr>
        <w:tabs>
          <w:tab w:val="left" w:pos="0"/>
          <w:tab w:val="center" w:pos="4890"/>
        </w:tabs>
        <w:spacing w:line="360" w:lineRule="auto"/>
        <w:rPr>
          <w:rFonts w:eastAsia="Calibri"/>
          <w:szCs w:val="24"/>
          <w:lang w:eastAsia="en-US"/>
        </w:rPr>
      </w:pP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ДО:…………………………………………………………………………………………………….</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От: …………………………………………………………………………………………………….</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тел.: …………………………, факс: ………………….., e-mail: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5839A8">
      <w:pPr>
        <w:autoSpaceDE w:val="0"/>
        <w:autoSpaceDN w:val="0"/>
        <w:adjustRightInd w:val="0"/>
        <w:spacing w:line="360" w:lineRule="auto"/>
        <w:ind w:firstLine="709"/>
        <w:jc w:val="both"/>
        <w:rPr>
          <w:rFonts w:eastAsia="Calibri"/>
          <w:szCs w:val="24"/>
          <w:lang w:eastAsia="en-US"/>
        </w:rPr>
      </w:pP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66205A" w:rsidRPr="0066205A">
        <w:rPr>
          <w:bCs/>
          <w:szCs w:val="24"/>
        </w:rPr>
        <w:t>„</w:t>
      </w:r>
      <w:r w:rsidR="0066205A" w:rsidRPr="0066205A">
        <w:rPr>
          <w:bCs/>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66205A" w:rsidRPr="0066205A">
        <w:rPr>
          <w:bCs/>
          <w:szCs w:val="24"/>
        </w:rPr>
        <w:t>Министерството на здравеопазването</w:t>
      </w:r>
      <w:r w:rsidR="00A64264" w:rsidRPr="00A64264">
        <w:rPr>
          <w:bCs/>
          <w:szCs w:val="24"/>
        </w:rPr>
        <w:t>“,</w:t>
      </w:r>
    </w:p>
    <w:p w:rsidR="00854A1A" w:rsidRDefault="00854A1A" w:rsidP="005839A8">
      <w:pPr>
        <w:tabs>
          <w:tab w:val="left" w:pos="0"/>
          <w:tab w:val="center" w:pos="4890"/>
        </w:tabs>
        <w:spacing w:line="360" w:lineRule="auto"/>
        <w:ind w:firstLine="709"/>
        <w:jc w:val="both"/>
        <w:rPr>
          <w:b/>
          <w:szCs w:val="24"/>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4820"/>
      </w:tblGrid>
      <w:tr w:rsidR="00CE32DB" w:rsidRPr="004E1B92" w:rsidTr="00742718">
        <w:tc>
          <w:tcPr>
            <w:tcW w:w="5245" w:type="dxa"/>
            <w:gridSpan w:val="2"/>
            <w:shd w:val="clear" w:color="auto" w:fill="auto"/>
          </w:tcPr>
          <w:p w:rsidR="00CE32DB" w:rsidRPr="004E1B92" w:rsidRDefault="00CE32DB" w:rsidP="00A64264">
            <w:pPr>
              <w:spacing w:line="360" w:lineRule="auto"/>
              <w:jc w:val="center"/>
              <w:rPr>
                <w:b/>
                <w:bCs/>
                <w:szCs w:val="24"/>
                <w:lang w:eastAsia="en-US"/>
              </w:rPr>
            </w:pPr>
            <w:r w:rsidRPr="004E1B92">
              <w:rPr>
                <w:b/>
                <w:bCs/>
                <w:szCs w:val="24"/>
                <w:lang w:eastAsia="en-US"/>
              </w:rPr>
              <w:t xml:space="preserve">Минимални изисквания на възложителя </w:t>
            </w:r>
          </w:p>
        </w:tc>
        <w:tc>
          <w:tcPr>
            <w:tcW w:w="4820" w:type="dxa"/>
            <w:shd w:val="clear" w:color="auto" w:fill="auto"/>
          </w:tcPr>
          <w:p w:rsidR="00CE32DB" w:rsidRPr="00CE32DB" w:rsidRDefault="00CE32DB" w:rsidP="005839A8">
            <w:pPr>
              <w:spacing w:line="360" w:lineRule="auto"/>
              <w:jc w:val="center"/>
              <w:rPr>
                <w:b/>
                <w:bCs/>
                <w:szCs w:val="24"/>
                <w:lang w:eastAsia="en-US"/>
              </w:rPr>
            </w:pPr>
            <w:r w:rsidRPr="00CE32DB">
              <w:rPr>
                <w:b/>
                <w:bCs/>
                <w:szCs w:val="24"/>
                <w:lang w:eastAsia="en-US"/>
              </w:rPr>
              <w:t xml:space="preserve">Предложение от участника </w:t>
            </w: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contextualSpacing/>
              <w:jc w:val="both"/>
              <w:rPr>
                <w:bCs/>
                <w:szCs w:val="24"/>
              </w:rPr>
            </w:pPr>
          </w:p>
        </w:tc>
        <w:tc>
          <w:tcPr>
            <w:tcW w:w="4819" w:type="dxa"/>
          </w:tcPr>
          <w:p w:rsidR="00742718" w:rsidRPr="00742718" w:rsidRDefault="00742718" w:rsidP="00742718">
            <w:pPr>
              <w:pStyle w:val="ListParagraph"/>
              <w:tabs>
                <w:tab w:val="left" w:pos="163"/>
              </w:tabs>
              <w:spacing w:after="0" w:line="20" w:lineRule="atLeast"/>
              <w:ind w:left="0"/>
              <w:jc w:val="both"/>
              <w:rPr>
                <w:rFonts w:ascii="Times New Roman" w:hAnsi="Times New Roman"/>
              </w:rPr>
            </w:pPr>
            <w:r w:rsidRPr="00742718">
              <w:rPr>
                <w:rFonts w:ascii="Times New Roman" w:hAnsi="Times New Roman"/>
              </w:rPr>
              <w:t>Осигуряване на възможност за провеждане на разговори в мрежата на оператора;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color w:val="000000"/>
                <w:sz w:val="22"/>
                <w:szCs w:val="22"/>
              </w:rPr>
            </w:pPr>
            <w:r w:rsidRPr="00742718">
              <w:rPr>
                <w:color w:val="000000"/>
                <w:sz w:val="22"/>
                <w:szCs w:val="22"/>
              </w:rPr>
              <w:t>Осигуряване при необходимост на преносимост на номерата на SIM картите на възложителя в мрежата на оператора;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color w:val="000000"/>
                <w:sz w:val="22"/>
                <w:szCs w:val="22"/>
              </w:rPr>
            </w:pPr>
            <w:r w:rsidRPr="00742718">
              <w:rPr>
                <w:sz w:val="22"/>
                <w:szCs w:val="22"/>
              </w:rPr>
              <w:t>Осигуряване на възможност за провеждане на разговори с крайни потребители на други оператори на мобилни и фиксирани мрежи;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 xml:space="preserve">Организиране на абонатите (SIM картите) на възложителя в корпоративна група. Корпоративната група включва номинално </w:t>
            </w:r>
            <w:r w:rsidRPr="00742718">
              <w:rPr>
                <w:sz w:val="22"/>
                <w:szCs w:val="22"/>
                <w:lang w:val="en-US"/>
              </w:rPr>
              <w:t>100</w:t>
            </w:r>
            <w:r w:rsidRPr="00742718">
              <w:rPr>
                <w:sz w:val="22"/>
                <w:szCs w:val="22"/>
              </w:rPr>
              <w:t xml:space="preserve"> броя абонати (SIM карти).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Осигуряване на възможност за провеждане на международни разговори с мобилни и фиксирани мрежи (по международни зони);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Осигуряване на възможност за провеждане на международни разговори в роуминг;</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Да активира и деактивира услугата „роуминг“ за определени абонати;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Да предоставя възможност за смяна на тарифните планове според необходимостта на възложителя;</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 xml:space="preserve">Осигуряване на възможност за достъп до </w:t>
            </w:r>
            <w:r w:rsidRPr="00742718">
              <w:rPr>
                <w:sz w:val="22"/>
                <w:szCs w:val="22"/>
              </w:rPr>
              <w:lastRenderedPageBreak/>
              <w:t>интернет;</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Осигуряване на възможност за изпращане и получаване на кратки текстови съобщения SMS и мултимедийни съобщения MMS в мрежата на избрания изпълнител към и от абонати на други мобилни оператори</w:t>
            </w:r>
            <w:r w:rsidRPr="00742718">
              <w:rPr>
                <w:sz w:val="22"/>
                <w:szCs w:val="22"/>
                <w:lang w:val="en-US"/>
              </w:rPr>
              <w:t>;</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Осигуряване на справочни услуги, отнасящи се до абонатните номера, кодове за автоматично вътрешно и международно избиране, цени и друга подобна информация, свързана с далекосъобщителните услуги на избрания изпълнител;</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да осигурява възможност за временно спиране на достъпа до мрежата си за посочена от възложителя SIM карта от корпоративната му група;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Уведомяване за пропуснато повикване;</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Осигуряване на стандартни гласови услуги - гласова поща; изчакване и задържане на повикването; пренасочване на повикването; ограничаване/забрана на повикванията; конферентна връзка; идентификация на повикването /CLIP, CLIR/;</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трябва да осигури на възложителя възможност за определяне на достъпа на всяка една SIM карта до „мобилен достъп до интернет“ и различни услуги като MMS, WAP, гласова поща, GPRS и други;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трябва да предостави на възложителя възможност за определяне на различни месечни лимити на изходящите разговори на всяка заявена и доставена SIM карта в корпоративната група;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следва да осигури безплатно:</w:t>
            </w:r>
          </w:p>
          <w:p w:rsidR="00742718" w:rsidRPr="00742718" w:rsidRDefault="00742718" w:rsidP="00742718">
            <w:pPr>
              <w:tabs>
                <w:tab w:val="left" w:pos="163"/>
              </w:tabs>
              <w:spacing w:line="20" w:lineRule="atLeast"/>
              <w:jc w:val="both"/>
              <w:rPr>
                <w:sz w:val="22"/>
                <w:szCs w:val="22"/>
              </w:rPr>
            </w:pPr>
            <w:r w:rsidRPr="00742718">
              <w:rPr>
                <w:sz w:val="22"/>
                <w:szCs w:val="22"/>
              </w:rPr>
              <w:t>- заявените SIM – карти до 24 часа от получаване на писмена заявка;</w:t>
            </w:r>
          </w:p>
          <w:p w:rsidR="00742718" w:rsidRPr="00742718" w:rsidRDefault="00742718" w:rsidP="00742718">
            <w:pPr>
              <w:tabs>
                <w:tab w:val="left" w:pos="163"/>
              </w:tabs>
              <w:spacing w:line="20" w:lineRule="atLeast"/>
              <w:jc w:val="both"/>
              <w:rPr>
                <w:sz w:val="22"/>
                <w:szCs w:val="22"/>
              </w:rPr>
            </w:pPr>
            <w:r w:rsidRPr="00742718">
              <w:rPr>
                <w:sz w:val="22"/>
                <w:szCs w:val="22"/>
              </w:rPr>
              <w:t xml:space="preserve">- възможност за предоставяне на допълнителен брой </w:t>
            </w:r>
            <w:r w:rsidRPr="00742718">
              <w:rPr>
                <w:sz w:val="22"/>
                <w:szCs w:val="22"/>
                <w:lang w:val="en-US"/>
              </w:rPr>
              <w:t>SIM</w:t>
            </w:r>
            <w:r w:rsidRPr="00742718">
              <w:rPr>
                <w:sz w:val="22"/>
                <w:szCs w:val="22"/>
              </w:rPr>
              <w:t xml:space="preserve"> карти в срок от 1 (един) ден след получаване на заявка от страна на възложителя.</w:t>
            </w:r>
          </w:p>
          <w:p w:rsidR="00742718" w:rsidRPr="00742718" w:rsidRDefault="00742718" w:rsidP="00742718">
            <w:pPr>
              <w:tabs>
                <w:tab w:val="left" w:pos="163"/>
              </w:tabs>
              <w:spacing w:line="20" w:lineRule="atLeast"/>
              <w:jc w:val="both"/>
              <w:rPr>
                <w:sz w:val="22"/>
                <w:szCs w:val="22"/>
              </w:rPr>
            </w:pPr>
            <w:r w:rsidRPr="00742718">
              <w:rPr>
                <w:sz w:val="22"/>
                <w:szCs w:val="22"/>
              </w:rPr>
              <w:t>- първоначалното свързване (регистрация) към мрежата на съответния мобилен оператор;</w:t>
            </w:r>
          </w:p>
          <w:p w:rsidR="00742718" w:rsidRPr="00742718" w:rsidRDefault="00742718" w:rsidP="00742718">
            <w:pPr>
              <w:tabs>
                <w:tab w:val="left" w:pos="163"/>
              </w:tabs>
              <w:spacing w:line="20" w:lineRule="atLeast"/>
              <w:jc w:val="both"/>
              <w:rPr>
                <w:sz w:val="22"/>
                <w:szCs w:val="22"/>
              </w:rPr>
            </w:pPr>
            <w:r w:rsidRPr="00742718">
              <w:rPr>
                <w:sz w:val="22"/>
                <w:szCs w:val="22"/>
              </w:rPr>
              <w:t xml:space="preserve">- подробно месечно извлечение - детайлизирана сметка, която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Предоставяне на подробно месечно извлечение, както на електронен, така и на хартиен носител - поотделно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w:t>
            </w:r>
            <w:r w:rsidRPr="00742718">
              <w:rPr>
                <w:sz w:val="22"/>
                <w:szCs w:val="22"/>
              </w:rPr>
              <w:lastRenderedPageBreak/>
              <w:t>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p>
          <w:p w:rsidR="00742718" w:rsidRPr="00742718" w:rsidRDefault="00742718" w:rsidP="00742718">
            <w:pPr>
              <w:tabs>
                <w:tab w:val="left" w:pos="163"/>
              </w:tabs>
              <w:spacing w:line="20" w:lineRule="atLeast"/>
              <w:jc w:val="both"/>
              <w:rPr>
                <w:sz w:val="22"/>
                <w:szCs w:val="22"/>
              </w:rPr>
            </w:pPr>
            <w:r w:rsidRPr="00742718">
              <w:rPr>
                <w:sz w:val="22"/>
                <w:szCs w:val="22"/>
              </w:rPr>
              <w:t>- замяна на SIM – карта, в случай на кражба, загубване или механично увреждане в рамките на 24 часа и безплатна доставка;</w:t>
            </w:r>
          </w:p>
          <w:p w:rsidR="00742718" w:rsidRPr="00742718" w:rsidRDefault="00742718" w:rsidP="00742718">
            <w:pPr>
              <w:tabs>
                <w:tab w:val="left" w:pos="163"/>
              </w:tabs>
              <w:spacing w:line="20" w:lineRule="atLeast"/>
              <w:jc w:val="both"/>
              <w:rPr>
                <w:sz w:val="22"/>
                <w:szCs w:val="22"/>
              </w:rPr>
            </w:pPr>
            <w:r w:rsidRPr="00742718">
              <w:rPr>
                <w:sz w:val="22"/>
                <w:szCs w:val="22"/>
              </w:rPr>
              <w:t>- предоставяне на възможност за безплатна замяна на стандартна SIM карта с микро SIM или нано SIM карта;</w:t>
            </w:r>
          </w:p>
          <w:p w:rsidR="00742718" w:rsidRPr="00742718" w:rsidRDefault="00742718" w:rsidP="00742718">
            <w:pPr>
              <w:tabs>
                <w:tab w:val="left" w:pos="163"/>
              </w:tabs>
              <w:spacing w:line="20" w:lineRule="atLeast"/>
              <w:jc w:val="both"/>
              <w:rPr>
                <w:sz w:val="22"/>
                <w:szCs w:val="22"/>
              </w:rPr>
            </w:pPr>
            <w:r w:rsidRPr="00742718">
              <w:rPr>
                <w:sz w:val="22"/>
                <w:szCs w:val="22"/>
              </w:rPr>
              <w:t>- за всяка SIM карта - безплатни национални разговори в корпоративна група ;</w:t>
            </w:r>
          </w:p>
          <w:p w:rsidR="00742718" w:rsidRPr="00742718" w:rsidRDefault="00742718" w:rsidP="00742718">
            <w:pPr>
              <w:tabs>
                <w:tab w:val="left" w:pos="163"/>
              </w:tabs>
              <w:spacing w:line="20" w:lineRule="atLeast"/>
              <w:jc w:val="both"/>
              <w:rPr>
                <w:sz w:val="22"/>
                <w:szCs w:val="22"/>
              </w:rPr>
            </w:pPr>
            <w:r w:rsidRPr="00742718">
              <w:rPr>
                <w:sz w:val="22"/>
                <w:szCs w:val="22"/>
              </w:rPr>
              <w:t>- възможност за използване на услугата „преносимост на номера;</w:t>
            </w:r>
          </w:p>
          <w:p w:rsidR="00742718" w:rsidRPr="00742718" w:rsidRDefault="00742718" w:rsidP="00742718">
            <w:pPr>
              <w:tabs>
                <w:tab w:val="left" w:pos="163"/>
              </w:tabs>
              <w:spacing w:line="20" w:lineRule="atLeast"/>
              <w:jc w:val="both"/>
              <w:rPr>
                <w:sz w:val="22"/>
                <w:szCs w:val="22"/>
              </w:rPr>
            </w:pPr>
            <w:r w:rsidRPr="00742718">
              <w:rPr>
                <w:sz w:val="22"/>
                <w:szCs w:val="22"/>
              </w:rPr>
              <w:t>- получаване на нов PUK код;</w:t>
            </w:r>
          </w:p>
          <w:p w:rsidR="00742718" w:rsidRPr="00742718" w:rsidRDefault="00742718" w:rsidP="00742718">
            <w:pPr>
              <w:tabs>
                <w:tab w:val="left" w:pos="163"/>
              </w:tabs>
              <w:spacing w:line="20" w:lineRule="atLeast"/>
              <w:jc w:val="both"/>
              <w:rPr>
                <w:sz w:val="22"/>
                <w:szCs w:val="22"/>
              </w:rPr>
            </w:pPr>
            <w:r w:rsidRPr="00742718">
              <w:rPr>
                <w:sz w:val="22"/>
                <w:szCs w:val="22"/>
              </w:rPr>
              <w:t>- услуги за осъществяване на спешни повиквания към службите "Спешна медицинска помощ", НС "Полиция", НС "Пожарна и аварийна безопасност" и към единния европейски номер за спешни повиквания 112 – безплатен достъп на крайните потребители до услугите за спешни повиквания;</w:t>
            </w:r>
          </w:p>
          <w:p w:rsidR="00742718" w:rsidRPr="00742718" w:rsidRDefault="00742718" w:rsidP="00742718">
            <w:pPr>
              <w:tabs>
                <w:tab w:val="left" w:pos="163"/>
              </w:tabs>
              <w:spacing w:line="20" w:lineRule="atLeast"/>
              <w:jc w:val="both"/>
              <w:rPr>
                <w:sz w:val="22"/>
                <w:szCs w:val="22"/>
              </w:rPr>
            </w:pPr>
            <w:r w:rsidRPr="00742718">
              <w:rPr>
                <w:sz w:val="22"/>
                <w:szCs w:val="22"/>
              </w:rPr>
              <w:t xml:space="preserve">- възможност за добавяне на нови абонати и изваждане на абонати от корпоративната група; </w:t>
            </w:r>
          </w:p>
          <w:p w:rsidR="00742718" w:rsidRPr="00742718" w:rsidRDefault="00742718" w:rsidP="00742718">
            <w:pPr>
              <w:tabs>
                <w:tab w:val="left" w:pos="163"/>
              </w:tabs>
              <w:spacing w:line="20" w:lineRule="atLeast"/>
              <w:jc w:val="both"/>
              <w:rPr>
                <w:sz w:val="22"/>
                <w:szCs w:val="22"/>
              </w:rPr>
            </w:pPr>
            <w:r w:rsidRPr="00742718">
              <w:rPr>
                <w:sz w:val="22"/>
                <w:szCs w:val="22"/>
              </w:rPr>
              <w:t>- да запази съществуващите телефонни номера, използвани понастоящем от Министерството на здравеопазването;</w:t>
            </w:r>
          </w:p>
          <w:p w:rsidR="00742718" w:rsidRPr="00742718" w:rsidRDefault="00742718" w:rsidP="00742718">
            <w:pPr>
              <w:tabs>
                <w:tab w:val="left" w:pos="163"/>
              </w:tabs>
              <w:spacing w:line="20" w:lineRule="atLeast"/>
              <w:jc w:val="both"/>
              <w:rPr>
                <w:sz w:val="22"/>
                <w:szCs w:val="22"/>
              </w:rPr>
            </w:pPr>
            <w:r w:rsidRPr="00742718">
              <w:rPr>
                <w:sz w:val="22"/>
                <w:szCs w:val="22"/>
              </w:rPr>
              <w:t>Забележка: актуалният списък от номерата за запазване ще бъде предоставен при подписване на договор, като разходите по пренасянето са за сметка на изпълнителя;</w:t>
            </w:r>
          </w:p>
          <w:p w:rsidR="00742718" w:rsidRPr="00742718" w:rsidRDefault="00742718" w:rsidP="00742718">
            <w:pPr>
              <w:tabs>
                <w:tab w:val="left" w:pos="163"/>
              </w:tabs>
              <w:spacing w:line="20" w:lineRule="atLeast"/>
              <w:jc w:val="both"/>
              <w:rPr>
                <w:sz w:val="22"/>
                <w:szCs w:val="22"/>
              </w:rPr>
            </w:pPr>
            <w:r w:rsidRPr="00742718">
              <w:rPr>
                <w:sz w:val="22"/>
                <w:szCs w:val="22"/>
              </w:rPr>
              <w:t>- възможност за безплатен достъп до национални не географски номера „0800”.</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Предлаганите от оператора цени за минута разговор следва да бъдат еднакви за всички часове на денонощието, като първоначален период на таксуване е 30 /тридесет/ секунди, а след това тарифиране на 1 /една/ секунда</w:t>
            </w:r>
            <w:r w:rsidRPr="00742718">
              <w:rPr>
                <w:sz w:val="22"/>
                <w:szCs w:val="22"/>
                <w:lang w:val="en-US"/>
              </w:rPr>
              <w:t>;</w:t>
            </w:r>
            <w:r w:rsidRPr="00742718">
              <w:rPr>
                <w:sz w:val="22"/>
                <w:szCs w:val="22"/>
              </w:rPr>
              <w:t xml:space="preserve"> (</w:t>
            </w:r>
            <w:r w:rsidRPr="00742718">
              <w:rPr>
                <w:sz w:val="22"/>
                <w:szCs w:val="22"/>
                <w:lang w:val="ru-RU"/>
              </w:rPr>
              <w:t>съгл. ч</w:t>
            </w:r>
            <w:r w:rsidRPr="00742718">
              <w:rPr>
                <w:sz w:val="22"/>
                <w:szCs w:val="22"/>
              </w:rPr>
              <w:t xml:space="preserve">л.50 (1) от </w:t>
            </w:r>
            <w:r w:rsidRPr="00742718">
              <w:rPr>
                <w:i/>
                <w:sz w:val="22"/>
                <w:szCs w:val="22"/>
              </w:rPr>
              <w:t>„</w:t>
            </w:r>
            <w:r w:rsidRPr="00742718">
              <w:rPr>
                <w:bCs/>
                <w:i/>
                <w:sz w:val="22"/>
                <w:szCs w:val="22"/>
              </w:rPr>
              <w:t>Общи изисквания при осъществяване на обществени електронни съобщения”</w:t>
            </w:r>
            <w:r w:rsidRPr="00742718">
              <w:rPr>
                <w:b/>
                <w:bCs/>
                <w:i/>
                <w:iCs/>
                <w:sz w:val="22"/>
                <w:szCs w:val="22"/>
              </w:rPr>
              <w:t xml:space="preserve"> </w:t>
            </w:r>
            <w:r w:rsidRPr="00742718">
              <w:rPr>
                <w:bCs/>
                <w:i/>
                <w:iCs/>
                <w:sz w:val="22"/>
                <w:szCs w:val="22"/>
              </w:rPr>
              <w:t>изм. и доп. ДВ. бр</w:t>
            </w:r>
            <w:r w:rsidRPr="00742718">
              <w:rPr>
                <w:bCs/>
                <w:i/>
                <w:iCs/>
                <w:sz w:val="22"/>
                <w:szCs w:val="22"/>
                <w:lang w:val="en-US"/>
              </w:rPr>
              <w:t xml:space="preserve">. </w:t>
            </w:r>
            <w:r w:rsidRPr="00742718">
              <w:rPr>
                <w:bCs/>
                <w:i/>
                <w:iCs/>
                <w:sz w:val="22"/>
                <w:szCs w:val="22"/>
              </w:rPr>
              <w:t>54 от 15 Януари 2016г.,</w:t>
            </w:r>
            <w:r w:rsidRPr="00742718">
              <w:rPr>
                <w:i/>
                <w:sz w:val="22"/>
                <w:szCs w:val="22"/>
              </w:rPr>
              <w:t>)</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Да предостави възможност за включване към корпоративната група на посочени от възложителя служители, притежаващи лични SIM-карти, при преференциални ценови условия, като разходите бъдат за тяхна сметка;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Предлаганият от оператора пакет услуга за 1 SIM карта задължително следва да включва и всички останали услуги, предлагани от далекосъобщителна мрежа (напр. изпращане на SMS, MMS, WAP, GRPS, UMTS, гласова поща, роуминг).</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да посочи център за обслужване, от който безплатно да се получава информация за стойността на услугата до момента, интернет достъп, настройки и други;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следва да осигури възможност за закупуване на мобилни апарати и аксесоари към тях за нуждите на корпоративната група с договорен процент търговска отстъпка от цената им в търговската си мрежа за срока на действие на договора;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Операторът трябва да поддържа мрежата си при качество на далекосъобщителните услуги с:</w:t>
            </w:r>
          </w:p>
          <w:p w:rsidR="00742718" w:rsidRPr="00742718" w:rsidRDefault="00742718" w:rsidP="00742718">
            <w:pPr>
              <w:tabs>
                <w:tab w:val="left" w:pos="163"/>
              </w:tabs>
              <w:spacing w:line="20" w:lineRule="atLeast"/>
              <w:jc w:val="both"/>
              <w:rPr>
                <w:sz w:val="22"/>
                <w:szCs w:val="22"/>
              </w:rPr>
            </w:pPr>
            <w:r w:rsidRPr="00742718">
              <w:rPr>
                <w:sz w:val="22"/>
                <w:szCs w:val="22"/>
              </w:rPr>
              <w:t>- вероятност за успешно свързване на връзка в район с покритие на GSM мрежата - повече от 90 % ;</w:t>
            </w:r>
          </w:p>
          <w:p w:rsidR="00742718" w:rsidRPr="00742718" w:rsidRDefault="00742718" w:rsidP="00742718">
            <w:pPr>
              <w:tabs>
                <w:tab w:val="left" w:pos="163"/>
              </w:tabs>
              <w:spacing w:line="20" w:lineRule="atLeast"/>
              <w:jc w:val="both"/>
              <w:rPr>
                <w:sz w:val="22"/>
                <w:szCs w:val="22"/>
              </w:rPr>
            </w:pPr>
            <w:r w:rsidRPr="00742718">
              <w:rPr>
                <w:sz w:val="22"/>
                <w:szCs w:val="22"/>
              </w:rPr>
              <w:t>- неуспешни повиквания, дължащи се на претоварване или повреди - по-малко от 5 %.</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За закупените мобилни апарати изпълнителя на поръчката дава гаранционен срок, който не може да бъде по-малък от този на производителя и осигурява гаранционна поддръжка;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Изпълнителя на поръчката да осигури възможност за предоставяне на друг мобилен апарат за ползване до отстраняване на повредата, при продължителност на ремонта повече от 48 часа;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lang w:val="ru-RU"/>
              </w:rPr>
              <w:t xml:space="preserve">Да бъде осигурена съвместимост на услугите с оборудването на възложителя. </w:t>
            </w:r>
            <w:r w:rsidRPr="00742718">
              <w:rPr>
                <w:sz w:val="22"/>
                <w:szCs w:val="22"/>
              </w:rPr>
              <w:t xml:space="preserve">Участникът трябва да осигури работата на съществуващите в системата на Министерството на здравеопазването мобилни апарати, </w:t>
            </w:r>
            <w:r w:rsidRPr="00742718">
              <w:rPr>
                <w:sz w:val="22"/>
                <w:szCs w:val="22"/>
                <w:lang w:val="en-US"/>
              </w:rPr>
              <w:t>Gateway</w:t>
            </w:r>
            <w:r w:rsidRPr="00742718">
              <w:rPr>
                <w:sz w:val="22"/>
                <w:szCs w:val="22"/>
              </w:rPr>
              <w:t xml:space="preserve"> устройства и </w:t>
            </w:r>
            <w:r w:rsidRPr="00742718">
              <w:rPr>
                <w:sz w:val="22"/>
                <w:szCs w:val="22"/>
                <w:lang w:val="en-US"/>
              </w:rPr>
              <w:t xml:space="preserve">3G USB </w:t>
            </w:r>
            <w:r w:rsidRPr="00742718">
              <w:rPr>
                <w:sz w:val="22"/>
                <w:szCs w:val="22"/>
              </w:rPr>
              <w:t>модеми  в неговата мобилна мрежа без разходи за възложителя, а при невъзможност – безплатната им замяна с модели, покриващи и/или разширяващи техническите им характеристики и функционални възможности</w:t>
            </w:r>
            <w:r w:rsidRPr="00742718">
              <w:rPr>
                <w:sz w:val="22"/>
                <w:szCs w:val="22"/>
                <w:lang w:val="en-US"/>
              </w:rPr>
              <w:t xml:space="preserve"> </w:t>
            </w:r>
            <w:r w:rsidRPr="00742718">
              <w:rPr>
                <w:sz w:val="22"/>
                <w:szCs w:val="22"/>
                <w:lang w:val="ru-RU"/>
              </w:rPr>
              <w:t>с цел свързване към обществената мрежа.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 xml:space="preserve">Допълнителни услуги подпомагащи дейността на възложителя: </w:t>
            </w:r>
          </w:p>
          <w:p w:rsidR="00742718" w:rsidRPr="00742718" w:rsidRDefault="00742718" w:rsidP="00742718">
            <w:pPr>
              <w:tabs>
                <w:tab w:val="left" w:pos="163"/>
              </w:tabs>
              <w:spacing w:line="20" w:lineRule="atLeast"/>
              <w:jc w:val="both"/>
              <w:rPr>
                <w:sz w:val="22"/>
                <w:szCs w:val="22"/>
              </w:rPr>
            </w:pPr>
            <w:r w:rsidRPr="00742718">
              <w:rPr>
                <w:sz w:val="22"/>
                <w:szCs w:val="22"/>
              </w:rPr>
              <w:t>•</w:t>
            </w:r>
            <w:r w:rsidRPr="00742718">
              <w:rPr>
                <w:sz w:val="22"/>
                <w:szCs w:val="22"/>
              </w:rPr>
              <w:tab/>
              <w:t>След уведомяване от страна на представител на възложителя по всяко време от срока на действие на договора да извършва промяна на броя на ползваните SIM карти и услуги (увеличение, намаление на броя SIM карти, прехвърляне на външно лице, активиране или деактивиране на роуминг, кредитен лимит и други услуги), без санкции или неустойки;</w:t>
            </w:r>
          </w:p>
          <w:p w:rsidR="00742718" w:rsidRPr="00742718" w:rsidRDefault="00742718" w:rsidP="00742718">
            <w:pPr>
              <w:tabs>
                <w:tab w:val="left" w:pos="163"/>
                <w:tab w:val="left" w:pos="204"/>
              </w:tabs>
              <w:spacing w:line="20" w:lineRule="atLeast"/>
              <w:jc w:val="both"/>
              <w:rPr>
                <w:sz w:val="22"/>
                <w:szCs w:val="22"/>
              </w:rPr>
            </w:pPr>
            <w:r w:rsidRPr="00742718">
              <w:rPr>
                <w:sz w:val="22"/>
                <w:szCs w:val="22"/>
              </w:rPr>
              <w:t>•</w:t>
            </w:r>
            <w:r w:rsidRPr="00742718">
              <w:rPr>
                <w:sz w:val="22"/>
                <w:szCs w:val="22"/>
              </w:rPr>
              <w:tab/>
              <w:t>Да се осигури възможност напуснали Министерството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p w:rsidR="00742718" w:rsidRPr="00742718" w:rsidRDefault="00742718" w:rsidP="00742718">
            <w:pPr>
              <w:tabs>
                <w:tab w:val="left" w:pos="163"/>
                <w:tab w:val="left" w:pos="204"/>
              </w:tabs>
              <w:spacing w:line="20" w:lineRule="atLeast"/>
              <w:jc w:val="both"/>
              <w:rPr>
                <w:sz w:val="22"/>
                <w:szCs w:val="22"/>
              </w:rPr>
            </w:pPr>
            <w:r w:rsidRPr="00742718">
              <w:rPr>
                <w:sz w:val="22"/>
                <w:szCs w:val="22"/>
              </w:rPr>
              <w:t>•</w:t>
            </w:r>
            <w:r w:rsidRPr="00742718">
              <w:rPr>
                <w:sz w:val="22"/>
                <w:szCs w:val="22"/>
              </w:rPr>
              <w:tab/>
              <w:t xml:space="preserve">Да се осигурява проверка на сметка и текущо потребление на кратък номер, или чрез SMS. Услугата следва да осигури възможност на всеки индивидуален абонат от групата на </w:t>
            </w:r>
            <w:r w:rsidRPr="00742718">
              <w:rPr>
                <w:sz w:val="22"/>
                <w:szCs w:val="22"/>
              </w:rPr>
              <w:lastRenderedPageBreak/>
              <w:t>Министерството на здравеопазването възможност за проверка на индивидуалната сметка и други справки, чрез обаждане на номер за обслужване на клиенти.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Качеството на услугите, предоставяни от участника, трябва да бъде в съответствие с изискванията, предвидени в стандартизационните документи цитирани в Закона за електронните съобщения, с Общите правила за взаимоотношения с крайните потребители, съгласувани с Комисията за регулиране на съобщенията.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tabs>
                <w:tab w:val="left" w:pos="176"/>
              </w:tabs>
              <w:spacing w:line="20" w:lineRule="atLeast"/>
              <w:ind w:left="318" w:hanging="426"/>
              <w:jc w:val="both"/>
              <w:rPr>
                <w:b/>
                <w:szCs w:val="24"/>
              </w:rPr>
            </w:pPr>
          </w:p>
        </w:tc>
        <w:tc>
          <w:tcPr>
            <w:tcW w:w="4819" w:type="dxa"/>
          </w:tcPr>
          <w:p w:rsidR="00742718" w:rsidRPr="00742718" w:rsidRDefault="00742718" w:rsidP="00742718">
            <w:pPr>
              <w:tabs>
                <w:tab w:val="left" w:pos="163"/>
              </w:tabs>
              <w:spacing w:line="20" w:lineRule="atLeast"/>
              <w:ind w:left="360"/>
              <w:contextualSpacing/>
              <w:jc w:val="both"/>
              <w:rPr>
                <w:b/>
                <w:sz w:val="22"/>
                <w:szCs w:val="22"/>
              </w:rPr>
            </w:pPr>
            <w:r w:rsidRPr="00742718">
              <w:rPr>
                <w:b/>
                <w:sz w:val="22"/>
                <w:szCs w:val="22"/>
              </w:rPr>
              <w:t>Други изисквания</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lang w:val="ru-RU"/>
              </w:rPr>
            </w:pPr>
            <w:r w:rsidRPr="00742718">
              <w:rPr>
                <w:sz w:val="22"/>
                <w:szCs w:val="22"/>
              </w:rPr>
              <w:t>При опасност от нарушаване сигурността на електронните съобщителни мрежи на участника или пробив в неговите информационни системи, касаеща Министерството на здравеопазването, същия трябва незабавно да уведоми възложителя.</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 w:val="left" w:pos="720"/>
              </w:tabs>
              <w:autoSpaceDE w:val="0"/>
              <w:spacing w:line="20" w:lineRule="atLeast"/>
              <w:ind w:left="318" w:hanging="426"/>
              <w:jc w:val="both"/>
              <w:rPr>
                <w:color w:val="000000"/>
                <w:szCs w:val="24"/>
              </w:rPr>
            </w:pPr>
          </w:p>
        </w:tc>
        <w:tc>
          <w:tcPr>
            <w:tcW w:w="4819" w:type="dxa"/>
          </w:tcPr>
          <w:p w:rsidR="00742718" w:rsidRPr="00742718" w:rsidRDefault="00742718" w:rsidP="00742718">
            <w:pPr>
              <w:tabs>
                <w:tab w:val="left" w:pos="163"/>
                <w:tab w:val="left" w:pos="720"/>
              </w:tabs>
              <w:autoSpaceDE w:val="0"/>
              <w:spacing w:line="20" w:lineRule="atLeast"/>
              <w:ind w:left="3"/>
              <w:jc w:val="both"/>
              <w:rPr>
                <w:sz w:val="22"/>
                <w:szCs w:val="22"/>
              </w:rPr>
            </w:pPr>
            <w:r w:rsidRPr="00742718">
              <w:rPr>
                <w:sz w:val="22"/>
                <w:szCs w:val="22"/>
              </w:rPr>
              <w:t>Участникът да декларира, че поема задължение да не се разкриват и разпространяват съобщенията в т.ч. данните за технологични нужди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ѝ, както и за разходите, които са свързани с това.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 w:val="left" w:pos="720"/>
              </w:tabs>
              <w:autoSpaceDE w:val="0"/>
              <w:spacing w:line="20" w:lineRule="atLeast"/>
              <w:ind w:left="318" w:hanging="426"/>
              <w:jc w:val="both"/>
              <w:rPr>
                <w:szCs w:val="24"/>
              </w:rPr>
            </w:pPr>
          </w:p>
        </w:tc>
        <w:tc>
          <w:tcPr>
            <w:tcW w:w="4819" w:type="dxa"/>
          </w:tcPr>
          <w:p w:rsidR="00742718" w:rsidRPr="00742718" w:rsidRDefault="00742718" w:rsidP="00742718">
            <w:pPr>
              <w:tabs>
                <w:tab w:val="left" w:pos="163"/>
                <w:tab w:val="left" w:pos="720"/>
              </w:tabs>
              <w:autoSpaceDE w:val="0"/>
              <w:spacing w:line="20" w:lineRule="atLeast"/>
              <w:ind w:left="3"/>
              <w:jc w:val="both"/>
              <w:rPr>
                <w:sz w:val="22"/>
                <w:szCs w:val="22"/>
              </w:rPr>
            </w:pPr>
            <w:r w:rsidRPr="00742718">
              <w:rPr>
                <w:sz w:val="22"/>
                <w:szCs w:val="22"/>
              </w:rPr>
              <w:t xml:space="preserve">В случай, че се налага участникът да осъществи плавен преход при прехвърляне на предоставянето на комуникационните услуги от съществуващия доставчик към нова комуникационна среда, трябва да декларира, че ще осигури непрекъснатост на услугата с изискваното качество. </w:t>
            </w:r>
          </w:p>
          <w:p w:rsidR="00742718" w:rsidRPr="00742718" w:rsidRDefault="00742718" w:rsidP="00742718">
            <w:pPr>
              <w:tabs>
                <w:tab w:val="left" w:pos="163"/>
                <w:tab w:val="left" w:pos="720"/>
              </w:tabs>
              <w:autoSpaceDE w:val="0"/>
              <w:spacing w:line="20" w:lineRule="atLeast"/>
              <w:ind w:left="3"/>
              <w:jc w:val="both"/>
              <w:rPr>
                <w:sz w:val="22"/>
                <w:szCs w:val="22"/>
              </w:rPr>
            </w:pPr>
            <w:r w:rsidRPr="00742718">
              <w:rPr>
                <w:sz w:val="22"/>
                <w:szCs w:val="22"/>
              </w:rPr>
              <w:t xml:space="preserve">Декларацията за непрекъснатост следва да бъде приложена към офертата. </w:t>
            </w:r>
          </w:p>
          <w:p w:rsidR="00742718" w:rsidRPr="00742718" w:rsidRDefault="00742718" w:rsidP="00742718">
            <w:pPr>
              <w:tabs>
                <w:tab w:val="left" w:pos="163"/>
                <w:tab w:val="left" w:pos="720"/>
              </w:tabs>
              <w:autoSpaceDE w:val="0"/>
              <w:spacing w:line="20" w:lineRule="atLeast"/>
              <w:ind w:left="3"/>
              <w:jc w:val="both"/>
              <w:rPr>
                <w:sz w:val="22"/>
                <w:szCs w:val="22"/>
              </w:rPr>
            </w:pPr>
            <w:r w:rsidRPr="00742718">
              <w:rPr>
                <w:sz w:val="22"/>
                <w:szCs w:val="22"/>
              </w:rPr>
              <w:t>Участникът извършва прехода от предходния оператор към неговата мрежа в рамките на 7 работни дни след подписване на договор и включва „прозорец на преносимост”* не по-голям от 7 часа. 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момента на преминаване на отговорността по предоставянето на услугите към новия доставчик.</w:t>
            </w:r>
          </w:p>
          <w:p w:rsidR="00742718" w:rsidRPr="00742718" w:rsidRDefault="00742718" w:rsidP="00742718">
            <w:pPr>
              <w:tabs>
                <w:tab w:val="left" w:pos="163"/>
                <w:tab w:val="left" w:pos="720"/>
              </w:tabs>
              <w:autoSpaceDE w:val="0"/>
              <w:spacing w:line="20" w:lineRule="atLeast"/>
              <w:ind w:left="3"/>
              <w:jc w:val="both"/>
              <w:rPr>
                <w:sz w:val="22"/>
                <w:szCs w:val="22"/>
              </w:rPr>
            </w:pPr>
            <w:r w:rsidRPr="00742718">
              <w:rPr>
                <w:sz w:val="22"/>
                <w:szCs w:val="22"/>
              </w:rPr>
              <w:t>* „Прозорецът на преносимост” е времето, през което номерът се деактивира от старата мрежа, активира се в новата мрежа и се актуализират базите данни на всички оператори.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lang w:val="ru-RU"/>
              </w:rPr>
            </w:pPr>
          </w:p>
        </w:tc>
        <w:tc>
          <w:tcPr>
            <w:tcW w:w="4819" w:type="dxa"/>
          </w:tcPr>
          <w:p w:rsidR="00742718" w:rsidRPr="00742718" w:rsidRDefault="00742718" w:rsidP="00742718">
            <w:pPr>
              <w:tabs>
                <w:tab w:val="left" w:pos="163"/>
              </w:tabs>
              <w:spacing w:line="20" w:lineRule="atLeast"/>
              <w:jc w:val="both"/>
              <w:rPr>
                <w:sz w:val="22"/>
                <w:szCs w:val="22"/>
                <w:lang w:val="ru-RU"/>
              </w:rPr>
            </w:pPr>
            <w:r w:rsidRPr="00742718">
              <w:rPr>
                <w:sz w:val="22"/>
                <w:szCs w:val="22"/>
                <w:lang w:val="ru-RU"/>
              </w:rPr>
              <w:t xml:space="preserve">За случаите, неописани в гореизложените технически и функционални характеристики, </w:t>
            </w:r>
            <w:r w:rsidRPr="00742718">
              <w:rPr>
                <w:sz w:val="22"/>
                <w:szCs w:val="22"/>
                <w:lang w:val="ru-RU"/>
              </w:rPr>
              <w:lastRenderedPageBreak/>
              <w:t>договора и приложенията към него ще важат Общите условия на участника.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contextualSpacing/>
              <w:jc w:val="both"/>
              <w:rPr>
                <w:bCs/>
                <w:szCs w:val="24"/>
              </w:rPr>
            </w:pPr>
          </w:p>
        </w:tc>
        <w:tc>
          <w:tcPr>
            <w:tcW w:w="4819" w:type="dxa"/>
          </w:tcPr>
          <w:p w:rsidR="00742718" w:rsidRPr="00742718" w:rsidRDefault="00742718" w:rsidP="00742718">
            <w:pPr>
              <w:pStyle w:val="ListParagraph"/>
              <w:tabs>
                <w:tab w:val="left" w:pos="163"/>
              </w:tabs>
              <w:spacing w:after="0" w:line="20" w:lineRule="atLeast"/>
              <w:ind w:left="0"/>
              <w:jc w:val="both"/>
              <w:rPr>
                <w:rFonts w:ascii="Times New Roman" w:hAnsi="Times New Roman"/>
              </w:rPr>
            </w:pPr>
            <w:r w:rsidRPr="00742718">
              <w:rPr>
                <w:rFonts w:ascii="Times New Roman" w:hAnsi="Times New Roman"/>
              </w:rPr>
              <w:t>Осигуряване на възможност за провеждане на разговори в мрежата на оператора;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color w:val="000000"/>
                <w:sz w:val="22"/>
                <w:szCs w:val="22"/>
              </w:rPr>
            </w:pPr>
            <w:r w:rsidRPr="00742718">
              <w:rPr>
                <w:color w:val="000000"/>
                <w:sz w:val="22"/>
                <w:szCs w:val="22"/>
              </w:rPr>
              <w:t>Осигуряване при необходимост на преносимост на номерата на SIM картите на възложителя в мрежата на оператора;</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color w:val="000000"/>
                <w:sz w:val="22"/>
                <w:szCs w:val="22"/>
              </w:rPr>
            </w:pPr>
            <w:r w:rsidRPr="00742718">
              <w:rPr>
                <w:sz w:val="22"/>
                <w:szCs w:val="22"/>
              </w:rPr>
              <w:t>Осигуряване на възможност за провеждане на разговори с крайни потребители на други оператори на мобилни и фиксирани мрежи;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r w:rsidR="00742718" w:rsidRPr="004E1B92" w:rsidTr="00742718">
        <w:tc>
          <w:tcPr>
            <w:tcW w:w="426" w:type="dxa"/>
          </w:tcPr>
          <w:p w:rsidR="00742718" w:rsidRPr="00A0318A" w:rsidRDefault="00742718" w:rsidP="00742718">
            <w:pPr>
              <w:numPr>
                <w:ilvl w:val="0"/>
                <w:numId w:val="24"/>
              </w:numPr>
              <w:tabs>
                <w:tab w:val="left" w:pos="176"/>
              </w:tabs>
              <w:spacing w:line="20" w:lineRule="atLeast"/>
              <w:ind w:left="318" w:hanging="426"/>
              <w:jc w:val="both"/>
              <w:rPr>
                <w:szCs w:val="24"/>
              </w:rPr>
            </w:pPr>
          </w:p>
        </w:tc>
        <w:tc>
          <w:tcPr>
            <w:tcW w:w="4819" w:type="dxa"/>
          </w:tcPr>
          <w:p w:rsidR="00742718" w:rsidRPr="00742718" w:rsidRDefault="00742718" w:rsidP="00742718">
            <w:pPr>
              <w:tabs>
                <w:tab w:val="left" w:pos="163"/>
              </w:tabs>
              <w:spacing w:line="20" w:lineRule="atLeast"/>
              <w:jc w:val="both"/>
              <w:rPr>
                <w:sz w:val="22"/>
                <w:szCs w:val="22"/>
              </w:rPr>
            </w:pPr>
            <w:r w:rsidRPr="00742718">
              <w:rPr>
                <w:sz w:val="22"/>
                <w:szCs w:val="22"/>
              </w:rPr>
              <w:t xml:space="preserve">Организиране на абонатите (SIM картите) на възложителя в корпоративна група. Корпоративната група включва номинално </w:t>
            </w:r>
            <w:r w:rsidRPr="00742718">
              <w:rPr>
                <w:sz w:val="22"/>
                <w:szCs w:val="22"/>
                <w:lang w:val="en-US"/>
              </w:rPr>
              <w:t>100</w:t>
            </w:r>
            <w:r w:rsidRPr="00742718">
              <w:rPr>
                <w:sz w:val="22"/>
                <w:szCs w:val="22"/>
              </w:rPr>
              <w:t xml:space="preserve"> броя абонати (SIM карти).</w:t>
            </w:r>
          </w:p>
        </w:tc>
        <w:tc>
          <w:tcPr>
            <w:tcW w:w="4820" w:type="dxa"/>
            <w:shd w:val="clear" w:color="auto" w:fill="auto"/>
          </w:tcPr>
          <w:p w:rsidR="00742718" w:rsidRPr="004E1B92" w:rsidRDefault="00742718" w:rsidP="00742718">
            <w:pPr>
              <w:spacing w:line="360" w:lineRule="auto"/>
              <w:jc w:val="center"/>
              <w:rPr>
                <w:b/>
                <w:bCs/>
                <w:szCs w:val="24"/>
                <w:lang w:eastAsia="en-US"/>
              </w:rPr>
            </w:pPr>
          </w:p>
        </w:tc>
      </w:tr>
    </w:tbl>
    <w:p w:rsidR="00CE32DB" w:rsidRPr="00905AD2" w:rsidRDefault="00CE32DB" w:rsidP="005839A8">
      <w:pPr>
        <w:tabs>
          <w:tab w:val="left" w:pos="0"/>
          <w:tab w:val="center" w:pos="4890"/>
        </w:tabs>
        <w:spacing w:line="360" w:lineRule="auto"/>
        <w:ind w:firstLine="709"/>
        <w:jc w:val="both"/>
        <w:rPr>
          <w:b/>
          <w:szCs w:val="24"/>
          <w:lang w:eastAsia="en-US"/>
        </w:rPr>
      </w:pPr>
    </w:p>
    <w:p w:rsidR="00465A9D" w:rsidRPr="00465A9D" w:rsidRDefault="00465A9D" w:rsidP="00AE25F0">
      <w:pPr>
        <w:spacing w:line="360" w:lineRule="auto"/>
        <w:ind w:right="-180" w:firstLine="567"/>
        <w:jc w:val="both"/>
        <w:rPr>
          <w:rFonts w:eastAsia="Calibri"/>
          <w:iCs/>
          <w:szCs w:val="24"/>
          <w:lang w:eastAsia="en-US"/>
        </w:rPr>
      </w:pPr>
      <w:r w:rsidRPr="00465A9D">
        <w:rPr>
          <w:rFonts w:eastAsia="Calibri"/>
          <w:b/>
          <w:szCs w:val="24"/>
          <w:lang w:eastAsia="en-US"/>
        </w:rPr>
        <w:t>1.</w:t>
      </w:r>
      <w:r w:rsidRPr="00AE25F0">
        <w:rPr>
          <w:rFonts w:eastAsia="Calibri"/>
          <w:bCs/>
          <w:szCs w:val="24"/>
          <w:lang w:eastAsia="en-US"/>
        </w:rPr>
        <w:t xml:space="preserve"> </w:t>
      </w:r>
      <w:r w:rsidRPr="00465A9D">
        <w:rPr>
          <w:rFonts w:eastAsia="Calibri"/>
          <w:szCs w:val="24"/>
          <w:lang w:eastAsia="en-US"/>
        </w:rPr>
        <w:t>Приемаме общите и технически изискв</w:t>
      </w:r>
      <w:r w:rsidR="00A64264">
        <w:rPr>
          <w:rFonts w:eastAsia="Calibri"/>
          <w:szCs w:val="24"/>
          <w:lang w:eastAsia="en-US"/>
        </w:rPr>
        <w:t xml:space="preserve">ания за изпълнение на предмета </w:t>
      </w:r>
      <w:r w:rsidRPr="00465A9D">
        <w:rPr>
          <w:rFonts w:eastAsia="Calibri"/>
          <w:szCs w:val="24"/>
          <w:lang w:eastAsia="en-US"/>
        </w:rPr>
        <w:t>поръчката.</w:t>
      </w:r>
    </w:p>
    <w:p w:rsidR="00465A9D" w:rsidRPr="00465A9D" w:rsidRDefault="00465A9D" w:rsidP="00AE25F0">
      <w:pPr>
        <w:spacing w:line="360" w:lineRule="auto"/>
        <w:ind w:right="-180" w:firstLine="567"/>
        <w:jc w:val="both"/>
        <w:rPr>
          <w:rFonts w:eastAsia="Calibri"/>
          <w:iCs/>
          <w:szCs w:val="24"/>
          <w:lang w:eastAsia="en-US"/>
        </w:rPr>
      </w:pPr>
      <w:r w:rsidRPr="00465A9D">
        <w:rPr>
          <w:rFonts w:eastAsia="Calibri"/>
          <w:b/>
          <w:szCs w:val="24"/>
          <w:lang w:eastAsia="en-US"/>
        </w:rPr>
        <w:t>2.</w:t>
      </w:r>
      <w:r w:rsidRPr="00465A9D">
        <w:rPr>
          <w:rFonts w:eastAsia="Calibri"/>
          <w:szCs w:val="24"/>
          <w:lang w:eastAsia="en-US"/>
        </w:rPr>
        <w:t xml:space="preserve"> Изпълнението на поръчката ще бъде в съответствие с изискванията на техническата спецификация и проекта на договора.</w:t>
      </w:r>
    </w:p>
    <w:p w:rsidR="00465A9D" w:rsidRDefault="008B4693" w:rsidP="00AE25F0">
      <w:pPr>
        <w:spacing w:line="360" w:lineRule="auto"/>
        <w:ind w:right="-180" w:firstLine="567"/>
        <w:jc w:val="both"/>
        <w:rPr>
          <w:rFonts w:eastAsia="Calibri"/>
          <w:bCs/>
          <w:iCs/>
          <w:szCs w:val="24"/>
          <w:lang w:eastAsia="en-US"/>
        </w:rPr>
      </w:pPr>
      <w:r>
        <w:rPr>
          <w:rFonts w:eastAsia="Calibri"/>
          <w:b/>
          <w:szCs w:val="24"/>
          <w:lang w:eastAsia="en-US"/>
        </w:rPr>
        <w:t>3</w:t>
      </w:r>
      <w:bookmarkStart w:id="0" w:name="_GoBack"/>
      <w:bookmarkEnd w:id="0"/>
      <w:r w:rsidR="00465A9D" w:rsidRPr="00465A9D">
        <w:rPr>
          <w:rFonts w:eastAsia="Calibri"/>
          <w:b/>
          <w:szCs w:val="24"/>
          <w:lang w:eastAsia="en-US"/>
        </w:rPr>
        <w:t xml:space="preserve">. </w:t>
      </w:r>
      <w:r w:rsidR="00465A9D" w:rsidRPr="00465A9D">
        <w:rPr>
          <w:rFonts w:eastAsia="Calibri"/>
          <w:szCs w:val="24"/>
          <w:lang w:eastAsia="en-US"/>
        </w:rPr>
        <w:t>Гарантираме, че сме в състояние да изпълним качествено поръчката в пълно съответствие с гореописаната оферта.</w:t>
      </w:r>
    </w:p>
    <w:p w:rsidR="00E920C0" w:rsidRDefault="00E920C0" w:rsidP="005839A8">
      <w:pPr>
        <w:spacing w:line="360" w:lineRule="auto"/>
        <w:ind w:right="-180"/>
        <w:jc w:val="both"/>
        <w:rPr>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5839A8">
      <w:pPr>
        <w:spacing w:line="360"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5839A8">
      <w:pPr>
        <w:spacing w:line="360" w:lineRule="auto"/>
        <w:ind w:right="-180"/>
        <w:jc w:val="both"/>
        <w:rPr>
          <w:rFonts w:eastAsia="Calibri"/>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5839A8">
      <w:pPr>
        <w:spacing w:line="360" w:lineRule="auto"/>
        <w:jc w:val="both"/>
        <w:rPr>
          <w:rFonts w:eastAsia="Calibri"/>
          <w:szCs w:val="24"/>
          <w:lang w:eastAsia="en-US"/>
        </w:rPr>
      </w:pPr>
    </w:p>
    <w:p w:rsidR="00F1378C" w:rsidRPr="00905AD2" w:rsidRDefault="00F1378C" w:rsidP="005839A8">
      <w:pPr>
        <w:spacing w:line="360" w:lineRule="auto"/>
        <w:jc w:val="both"/>
        <w:rPr>
          <w:rFonts w:eastAsia="Calibri"/>
          <w:szCs w:val="24"/>
          <w:lang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B00A90" w:rsidRPr="00B00A90">
        <w:rPr>
          <w:rFonts w:eastAsia="Calibri"/>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00A64264" w:rsidRPr="00A64264">
        <w:rPr>
          <w:rFonts w:eastAsia="Calibri"/>
          <w:szCs w:val="24"/>
          <w:lang w:eastAsia="en-US"/>
        </w:rPr>
        <w:t>,</w:t>
      </w:r>
    </w:p>
    <w:p w:rsidR="004E1B92" w:rsidRPr="00905AD2" w:rsidRDefault="004E1B92" w:rsidP="00A64264">
      <w:pPr>
        <w:tabs>
          <w:tab w:val="left" w:pos="0"/>
          <w:tab w:val="center" w:pos="4890"/>
        </w:tabs>
        <w:spacing w:line="360" w:lineRule="auto"/>
        <w:jc w:val="both"/>
        <w:rPr>
          <w:rFonts w:eastAsia="Calibri"/>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5839A8">
      <w:pPr>
        <w:spacing w:line="360" w:lineRule="auto"/>
        <w:ind w:left="284"/>
        <w:jc w:val="right"/>
        <w:rPr>
          <w:rFonts w:eastAsia="Calibri"/>
          <w:b/>
          <w:bCs/>
          <w:i/>
          <w:szCs w:val="24"/>
          <w:lang w:eastAsia="en-US"/>
        </w:rPr>
      </w:pPr>
      <w:r w:rsidRPr="00905AD2">
        <w:rPr>
          <w:rFonts w:eastAsia="Calibri"/>
          <w:spacing w:val="-4"/>
          <w:szCs w:val="24"/>
          <w:lang w:eastAsia="en-US"/>
        </w:rPr>
        <w:br w:type="page"/>
      </w:r>
      <w:r w:rsidR="00762712" w:rsidRPr="00905AD2">
        <w:rPr>
          <w:rFonts w:eastAsia="Calibri"/>
          <w:b/>
          <w:bCs/>
          <w:i/>
          <w:szCs w:val="24"/>
          <w:lang w:eastAsia="en-US"/>
        </w:rPr>
        <w:lastRenderedPageBreak/>
        <w:t xml:space="preserve">ОБРАЗЕЦ </w:t>
      </w:r>
    </w:p>
    <w:p w:rsidR="004E1B92" w:rsidRPr="00905AD2" w:rsidRDefault="004E1B92" w:rsidP="005839A8">
      <w:pPr>
        <w:spacing w:line="360" w:lineRule="auto"/>
        <w:jc w:val="center"/>
        <w:outlineLvl w:val="0"/>
        <w:rPr>
          <w:rFonts w:eastAsia="Calibri"/>
          <w:b/>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5839A8">
      <w:pPr>
        <w:spacing w:line="360" w:lineRule="auto"/>
        <w:jc w:val="both"/>
        <w:rPr>
          <w:rFonts w:eastAsia="Calibri"/>
          <w:szCs w:val="24"/>
          <w:lang w:eastAsia="en-US"/>
        </w:rPr>
      </w:pPr>
    </w:p>
    <w:p w:rsidR="00AC1AB9" w:rsidRPr="00345894" w:rsidRDefault="00AC1AB9" w:rsidP="005839A8">
      <w:pPr>
        <w:spacing w:line="360" w:lineRule="auto"/>
        <w:jc w:val="both"/>
        <w:rPr>
          <w:rFonts w:eastAsia="Calibri"/>
          <w:szCs w:val="24"/>
          <w:lang w:val="en-US"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4E1B92" w:rsidRPr="00A64264" w:rsidRDefault="004E1B92" w:rsidP="005839A8">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A64264" w:rsidRPr="00A64264">
        <w:rPr>
          <w:rFonts w:eastAsia="Calibri"/>
          <w:szCs w:val="24"/>
          <w:lang w:eastAsia="en-US"/>
        </w:rPr>
        <w:t>„</w:t>
      </w:r>
      <w:r w:rsidR="00B00A90" w:rsidRPr="00B00A90">
        <w:rPr>
          <w:rFonts w:eastAsia="Calibri"/>
          <w:szCs w:val="24"/>
          <w:lang w:val="be-BY" w:eastAsia="en-US"/>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B00A90" w:rsidRPr="00B00A90">
        <w:rPr>
          <w:rFonts w:eastAsia="Calibri"/>
          <w:bCs/>
          <w:szCs w:val="24"/>
          <w:lang w:eastAsia="en-US"/>
        </w:rPr>
        <w:t>Министерството на здравеопазването</w:t>
      </w:r>
      <w:r w:rsidR="00E514F8" w:rsidRPr="00A64264">
        <w:rPr>
          <w:rFonts w:eastAsia="Calibri"/>
          <w:szCs w:val="24"/>
          <w:lang w:eastAsia="en-US"/>
        </w:rPr>
        <w:t>“,</w:t>
      </w:r>
    </w:p>
    <w:p w:rsidR="004E1B92" w:rsidRDefault="004E1B92" w:rsidP="005839A8">
      <w:pPr>
        <w:spacing w:line="360" w:lineRule="auto"/>
        <w:jc w:val="both"/>
        <w:rPr>
          <w:rFonts w:eastAsia="Calibri"/>
          <w:b/>
          <w:bCs/>
          <w:szCs w:val="24"/>
          <w:lang w:eastAsia="en-US"/>
        </w:rPr>
      </w:pPr>
    </w:p>
    <w:p w:rsidR="00E514F8" w:rsidRPr="00905AD2" w:rsidRDefault="00E514F8" w:rsidP="005839A8">
      <w:pPr>
        <w:spacing w:line="360" w:lineRule="auto"/>
        <w:jc w:val="both"/>
        <w:rPr>
          <w:rFonts w:eastAsia="Calibri"/>
          <w:b/>
          <w:bCs/>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851"/>
        <w:jc w:val="both"/>
        <w:rPr>
          <w:rFonts w:eastAsia="Calibri"/>
          <w:szCs w:val="24"/>
          <w:lang w:eastAsia="en-US"/>
        </w:rPr>
      </w:pPr>
      <w:r w:rsidRPr="00905AD2">
        <w:rPr>
          <w:rFonts w:eastAsia="Calibri"/>
          <w:szCs w:val="24"/>
          <w:lang w:eastAsia="en-US"/>
        </w:rPr>
        <w:t xml:space="preserve">Срока на валидност на настоящата оферта </w:t>
      </w:r>
      <w:r w:rsidR="00B00A90">
        <w:rPr>
          <w:rFonts w:eastAsia="Calibri"/>
          <w:szCs w:val="24"/>
          <w:lang w:eastAsia="en-US"/>
        </w:rPr>
        <w:t xml:space="preserve">……………………. месеца, </w:t>
      </w:r>
      <w:r w:rsidR="00B00A90" w:rsidRPr="00B00A90">
        <w:rPr>
          <w:rFonts w:eastAsia="Calibri"/>
          <w:bCs/>
          <w:szCs w:val="24"/>
          <w:lang w:eastAsia="en-US"/>
        </w:rPr>
        <w:t xml:space="preserve">считано от датата, посочена като краен срок за получаване на </w:t>
      </w:r>
      <w:r w:rsidR="00B00A90">
        <w:rPr>
          <w:rFonts w:eastAsia="Calibri"/>
          <w:bCs/>
          <w:szCs w:val="24"/>
          <w:lang w:eastAsia="en-US"/>
        </w:rPr>
        <w:t>офертата</w:t>
      </w:r>
      <w:r w:rsidR="00B00A90" w:rsidRPr="00B00A90">
        <w:rPr>
          <w:rFonts w:eastAsia="Calibri"/>
          <w:bCs/>
          <w:szCs w:val="24"/>
          <w:lang w:eastAsia="en-US"/>
        </w:rPr>
        <w:t xml:space="preserve">, и представлява времето, през което </w:t>
      </w:r>
      <w:r w:rsidR="00B00A90">
        <w:rPr>
          <w:rFonts w:eastAsia="Calibri"/>
          <w:bCs/>
          <w:szCs w:val="24"/>
          <w:lang w:eastAsia="en-US"/>
        </w:rPr>
        <w:t>сме</w:t>
      </w:r>
      <w:r w:rsidR="00B00A90" w:rsidRPr="00B00A90">
        <w:rPr>
          <w:rFonts w:eastAsia="Calibri"/>
          <w:bCs/>
          <w:szCs w:val="24"/>
          <w:lang w:eastAsia="en-US"/>
        </w:rPr>
        <w:t xml:space="preserve"> обвързани с условията на представените предложения.</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D91342" w:rsidRDefault="00D91342" w:rsidP="005839A8">
      <w:pPr>
        <w:spacing w:line="360" w:lineRule="auto"/>
        <w:rPr>
          <w:rFonts w:eastAsia="Verdana-Italic"/>
          <w:szCs w:val="24"/>
          <w:lang w:eastAsia="en-US"/>
        </w:rPr>
      </w:pPr>
      <w:r>
        <w:rPr>
          <w:rFonts w:eastAsia="Verdana-Italic"/>
          <w:szCs w:val="24"/>
          <w:lang w:eastAsia="en-US"/>
        </w:rPr>
        <w:br w:type="page"/>
      </w:r>
    </w:p>
    <w:p w:rsidR="00181BDE" w:rsidRPr="00905AD2" w:rsidRDefault="00181BDE" w:rsidP="00181BDE">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181BDE" w:rsidRPr="00905AD2" w:rsidRDefault="00181BDE" w:rsidP="00181BDE">
      <w:pPr>
        <w:spacing w:line="360" w:lineRule="auto"/>
        <w:jc w:val="center"/>
        <w:outlineLvl w:val="0"/>
        <w:rPr>
          <w:rFonts w:eastAsia="Calibri"/>
          <w:b/>
          <w:szCs w:val="24"/>
          <w:lang w:eastAsia="en-US"/>
        </w:rPr>
      </w:pPr>
    </w:p>
    <w:p w:rsidR="00181BDE" w:rsidRPr="00905AD2" w:rsidRDefault="00181BDE" w:rsidP="00181BDE">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181BDE" w:rsidRPr="00905AD2" w:rsidRDefault="00181BDE" w:rsidP="00181BDE">
      <w:pPr>
        <w:spacing w:line="360" w:lineRule="auto"/>
        <w:jc w:val="center"/>
        <w:rPr>
          <w:rFonts w:eastAsia="Calibri"/>
          <w:szCs w:val="24"/>
          <w:lang w:eastAsia="en-US"/>
        </w:rPr>
      </w:pPr>
      <w:r w:rsidRPr="001A4812">
        <w:rPr>
          <w:bCs/>
          <w:szCs w:val="24"/>
          <w:lang w:eastAsia="en-GB"/>
        </w:rPr>
        <w:t>декларацията за непрекъснатост</w:t>
      </w:r>
    </w:p>
    <w:p w:rsidR="00181BDE" w:rsidRPr="00345894" w:rsidRDefault="00181BDE" w:rsidP="00181BDE">
      <w:pPr>
        <w:spacing w:line="360" w:lineRule="auto"/>
        <w:jc w:val="both"/>
        <w:rPr>
          <w:rFonts w:eastAsia="Calibri"/>
          <w:szCs w:val="24"/>
          <w:lang w:val="en-US" w:eastAsia="en-US"/>
        </w:rPr>
      </w:pPr>
    </w:p>
    <w:p w:rsidR="00181BDE" w:rsidRPr="00905AD2" w:rsidRDefault="00181BDE" w:rsidP="00181BDE">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181BDE" w:rsidRPr="00905AD2" w:rsidRDefault="00181BDE" w:rsidP="00181BDE">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181BDE" w:rsidRPr="00905AD2" w:rsidRDefault="00181BDE" w:rsidP="00181BDE">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181BDE" w:rsidRPr="00905AD2" w:rsidRDefault="00181BDE" w:rsidP="00181BDE">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181BDE" w:rsidRPr="00905AD2" w:rsidRDefault="00181BDE" w:rsidP="00181BDE">
      <w:pPr>
        <w:tabs>
          <w:tab w:val="left" w:pos="2280"/>
        </w:tabs>
        <w:spacing w:line="360" w:lineRule="auto"/>
        <w:jc w:val="both"/>
        <w:rPr>
          <w:rFonts w:eastAsia="Calibri"/>
          <w:szCs w:val="24"/>
          <w:lang w:eastAsia="en-US"/>
        </w:rPr>
      </w:pPr>
      <w:r w:rsidRPr="00905AD2">
        <w:rPr>
          <w:rFonts w:eastAsia="Calibri"/>
          <w:szCs w:val="24"/>
          <w:lang w:eastAsia="en-US"/>
        </w:rPr>
        <w:t>на …………………………………………………………………………………………… -</w:t>
      </w:r>
    </w:p>
    <w:p w:rsidR="00181BDE" w:rsidRPr="00905AD2" w:rsidRDefault="00181BDE" w:rsidP="00181BDE">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181BDE" w:rsidRPr="00A64264" w:rsidRDefault="00181BDE" w:rsidP="00181BDE">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Pr="00A64264">
        <w:rPr>
          <w:rFonts w:eastAsia="Calibri"/>
          <w:szCs w:val="24"/>
          <w:lang w:eastAsia="en-US"/>
        </w:rPr>
        <w:t>„</w:t>
      </w:r>
      <w:r w:rsidRPr="00B00A90">
        <w:rPr>
          <w:rFonts w:eastAsia="Calibri"/>
          <w:szCs w:val="24"/>
          <w:lang w:val="be-BY" w:eastAsia="en-US"/>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B00A90">
        <w:rPr>
          <w:rFonts w:eastAsia="Calibri"/>
          <w:bCs/>
          <w:szCs w:val="24"/>
          <w:lang w:eastAsia="en-US"/>
        </w:rPr>
        <w:t>Министерството на здравеопазването</w:t>
      </w:r>
      <w:r w:rsidRPr="00A64264">
        <w:rPr>
          <w:rFonts w:eastAsia="Calibri"/>
          <w:szCs w:val="24"/>
          <w:lang w:eastAsia="en-US"/>
        </w:rPr>
        <w:t>“,</w:t>
      </w:r>
    </w:p>
    <w:p w:rsidR="00181BDE" w:rsidRDefault="00181BDE" w:rsidP="00181BDE">
      <w:pPr>
        <w:spacing w:line="360" w:lineRule="auto"/>
        <w:jc w:val="both"/>
        <w:rPr>
          <w:rFonts w:eastAsia="Calibri"/>
          <w:b/>
          <w:bCs/>
          <w:szCs w:val="24"/>
          <w:lang w:eastAsia="en-US"/>
        </w:rPr>
      </w:pPr>
    </w:p>
    <w:p w:rsidR="00181BDE" w:rsidRPr="00905AD2" w:rsidRDefault="00181BDE" w:rsidP="00181BDE">
      <w:pPr>
        <w:spacing w:line="360" w:lineRule="auto"/>
        <w:jc w:val="both"/>
        <w:rPr>
          <w:rFonts w:eastAsia="Calibri"/>
          <w:b/>
          <w:bCs/>
          <w:szCs w:val="24"/>
          <w:lang w:eastAsia="en-US"/>
        </w:rPr>
      </w:pPr>
    </w:p>
    <w:p w:rsidR="00181BDE" w:rsidRPr="00905AD2" w:rsidRDefault="00181BDE" w:rsidP="00181BDE">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181BDE" w:rsidRPr="00905AD2" w:rsidRDefault="00181BDE" w:rsidP="00181BDE">
      <w:pPr>
        <w:spacing w:line="360" w:lineRule="auto"/>
        <w:jc w:val="both"/>
        <w:rPr>
          <w:rFonts w:eastAsia="Calibri"/>
          <w:b/>
          <w:bCs/>
          <w:szCs w:val="24"/>
          <w:lang w:eastAsia="en-US"/>
        </w:rPr>
      </w:pPr>
    </w:p>
    <w:p w:rsidR="00181BDE" w:rsidRPr="00905AD2" w:rsidRDefault="008A0C70" w:rsidP="00181BDE">
      <w:pPr>
        <w:spacing w:line="360" w:lineRule="auto"/>
        <w:ind w:firstLine="708"/>
        <w:jc w:val="both"/>
        <w:rPr>
          <w:rFonts w:eastAsia="Calibri"/>
          <w:szCs w:val="24"/>
          <w:lang w:eastAsia="en-US"/>
        </w:rPr>
      </w:pPr>
      <w:r w:rsidRPr="008A0C70">
        <w:rPr>
          <w:rFonts w:eastAsia="Calibri"/>
          <w:szCs w:val="24"/>
          <w:lang w:eastAsia="en-US"/>
        </w:rPr>
        <w:t>В случай, че се налага прехвърляне на комуникационните услуги</w:t>
      </w:r>
      <w:r w:rsidR="002D3D69">
        <w:rPr>
          <w:rFonts w:eastAsia="Calibri"/>
          <w:szCs w:val="24"/>
          <w:lang w:eastAsia="en-US"/>
        </w:rPr>
        <w:t xml:space="preserve">, </w:t>
      </w:r>
      <w:r w:rsidRPr="008A0C70">
        <w:rPr>
          <w:rFonts w:eastAsia="Calibri"/>
          <w:szCs w:val="24"/>
          <w:lang w:eastAsia="en-US"/>
        </w:rPr>
        <w:t>декларира</w:t>
      </w:r>
      <w:r w:rsidR="002D3D69">
        <w:rPr>
          <w:rFonts w:eastAsia="Calibri"/>
          <w:szCs w:val="24"/>
          <w:lang w:eastAsia="en-US"/>
        </w:rPr>
        <w:t>м</w:t>
      </w:r>
      <w:r w:rsidRPr="008A0C70">
        <w:rPr>
          <w:rFonts w:eastAsia="Calibri"/>
          <w:szCs w:val="24"/>
          <w:lang w:eastAsia="en-US"/>
        </w:rPr>
        <w:t>, че ще осигури</w:t>
      </w:r>
      <w:r w:rsidR="002D3D69">
        <w:rPr>
          <w:rFonts w:eastAsia="Calibri"/>
          <w:szCs w:val="24"/>
          <w:lang w:eastAsia="en-US"/>
        </w:rPr>
        <w:t>я</w:t>
      </w:r>
      <w:r w:rsidRPr="008A0C70">
        <w:rPr>
          <w:rFonts w:eastAsia="Calibri"/>
          <w:szCs w:val="24"/>
          <w:lang w:eastAsia="en-US"/>
        </w:rPr>
        <w:t xml:space="preserve"> непрекъснатост на услугата с изискваното качество.</w:t>
      </w:r>
    </w:p>
    <w:p w:rsidR="00181BDE" w:rsidRPr="00905AD2" w:rsidRDefault="00181BDE" w:rsidP="00181BDE">
      <w:pPr>
        <w:spacing w:line="360" w:lineRule="auto"/>
        <w:ind w:firstLine="708"/>
        <w:jc w:val="both"/>
        <w:rPr>
          <w:rFonts w:eastAsia="Calibri"/>
          <w:szCs w:val="24"/>
          <w:lang w:eastAsia="en-US"/>
        </w:rPr>
      </w:pPr>
    </w:p>
    <w:p w:rsidR="00181BDE" w:rsidRPr="00905AD2" w:rsidRDefault="00181BDE" w:rsidP="00181BDE">
      <w:pPr>
        <w:tabs>
          <w:tab w:val="left" w:leader="dot" w:pos="0"/>
        </w:tabs>
        <w:spacing w:line="360" w:lineRule="auto"/>
        <w:jc w:val="both"/>
        <w:rPr>
          <w:rFonts w:eastAsia="Calibri"/>
          <w:spacing w:val="-16"/>
          <w:w w:val="111"/>
          <w:szCs w:val="24"/>
          <w:lang w:eastAsia="en-US"/>
        </w:rPr>
      </w:pPr>
    </w:p>
    <w:p w:rsidR="00181BDE" w:rsidRPr="00905AD2" w:rsidRDefault="00181BDE" w:rsidP="00181BDE">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181BDE" w:rsidRDefault="00181BDE" w:rsidP="00181BDE">
      <w:pPr>
        <w:spacing w:line="360" w:lineRule="auto"/>
        <w:rPr>
          <w:rFonts w:eastAsia="Verdana-Italic"/>
          <w:szCs w:val="24"/>
          <w:lang w:eastAsia="en-US"/>
        </w:rPr>
      </w:pPr>
      <w:r>
        <w:rPr>
          <w:rFonts w:eastAsia="Verdana-Italic"/>
          <w:szCs w:val="24"/>
          <w:lang w:eastAsia="en-US"/>
        </w:rPr>
        <w:br w:type="page"/>
      </w:r>
    </w:p>
    <w:p w:rsidR="00D91342" w:rsidRPr="00905AD2" w:rsidRDefault="00D91342" w:rsidP="005839A8">
      <w:pPr>
        <w:spacing w:line="360"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D91342" w:rsidRPr="00D91342" w:rsidRDefault="00D91342" w:rsidP="005839A8">
      <w:pPr>
        <w:spacing w:line="360" w:lineRule="auto"/>
        <w:contextualSpacing/>
        <w:jc w:val="center"/>
        <w:rPr>
          <w:b/>
          <w:bCs/>
          <w:szCs w:val="24"/>
        </w:rPr>
      </w:pPr>
      <w:r w:rsidRPr="00D91342">
        <w:rPr>
          <w:b/>
          <w:bCs/>
          <w:szCs w:val="24"/>
        </w:rPr>
        <w:t>ДЕКЛАРАЦИЯ</w:t>
      </w:r>
    </w:p>
    <w:p w:rsidR="00D91342" w:rsidRPr="00D91342" w:rsidRDefault="00D91342" w:rsidP="005839A8">
      <w:pPr>
        <w:spacing w:line="360" w:lineRule="auto"/>
        <w:contextualSpacing/>
        <w:jc w:val="center"/>
        <w:rPr>
          <w:b/>
          <w:bCs/>
          <w:szCs w:val="24"/>
        </w:rPr>
      </w:pPr>
      <w:r w:rsidRPr="00D91342">
        <w:rPr>
          <w:b/>
          <w:bCs/>
          <w:szCs w:val="24"/>
        </w:rPr>
        <w:t>ЗА</w:t>
      </w:r>
      <w:r w:rsidRPr="00D91342">
        <w:rPr>
          <w:b/>
          <w:bCs/>
          <w:szCs w:val="24"/>
          <w:lang w:val="ru-RU"/>
        </w:rPr>
        <w:t xml:space="preserve"> </w:t>
      </w:r>
      <w:r w:rsidRPr="00D91342">
        <w:rPr>
          <w:b/>
          <w:bCs/>
          <w:szCs w:val="24"/>
        </w:rPr>
        <w:t>ЛИПСА НА СВЪРЗАНОСТ ПО ЧЛ. 101, АЛ. 11 ОТ ЗОП</w:t>
      </w:r>
    </w:p>
    <w:p w:rsidR="00D91342" w:rsidRPr="00D91342" w:rsidRDefault="00D91342" w:rsidP="005839A8">
      <w:pPr>
        <w:spacing w:line="360" w:lineRule="auto"/>
        <w:contextualSpacing/>
        <w:jc w:val="both"/>
        <w:rPr>
          <w:b/>
          <w:bCs/>
          <w:sz w:val="16"/>
          <w:szCs w:val="16"/>
        </w:rPr>
      </w:pPr>
    </w:p>
    <w:p w:rsidR="00D91342" w:rsidRPr="00D91342" w:rsidRDefault="00D91342" w:rsidP="005839A8">
      <w:pPr>
        <w:spacing w:line="360" w:lineRule="auto"/>
        <w:contextualSpacing/>
        <w:jc w:val="both"/>
        <w:rPr>
          <w:szCs w:val="24"/>
        </w:rPr>
      </w:pPr>
      <w:r w:rsidRPr="00D91342">
        <w:rPr>
          <w:spacing w:val="2"/>
          <w:w w:val="111"/>
          <w:szCs w:val="24"/>
        </w:rPr>
        <w:t>Подписаният: ………………………………</w:t>
      </w:r>
      <w:r w:rsidRPr="00D91342">
        <w:rPr>
          <w:szCs w:val="24"/>
        </w:rPr>
        <w:t>…………………………………</w:t>
      </w:r>
    </w:p>
    <w:p w:rsidR="00D91342" w:rsidRPr="00D91342" w:rsidRDefault="00D91342" w:rsidP="005839A8">
      <w:pPr>
        <w:spacing w:line="360" w:lineRule="auto"/>
        <w:contextualSpacing/>
        <w:jc w:val="center"/>
        <w:rPr>
          <w:i/>
          <w:spacing w:val="4"/>
          <w:sz w:val="22"/>
          <w:szCs w:val="22"/>
        </w:rPr>
      </w:pPr>
      <w:r w:rsidRPr="00D91342">
        <w:rPr>
          <w:i/>
          <w:spacing w:val="4"/>
          <w:sz w:val="22"/>
          <w:szCs w:val="22"/>
        </w:rPr>
        <w:t>(трите имена)</w:t>
      </w:r>
    </w:p>
    <w:p w:rsidR="00D91342" w:rsidRPr="00D91342" w:rsidRDefault="00D91342" w:rsidP="005839A8">
      <w:pPr>
        <w:tabs>
          <w:tab w:val="left" w:leader="dot" w:pos="6588"/>
        </w:tabs>
        <w:spacing w:line="360" w:lineRule="auto"/>
        <w:contextualSpacing/>
        <w:jc w:val="both"/>
        <w:rPr>
          <w:szCs w:val="24"/>
        </w:rPr>
      </w:pPr>
      <w:r w:rsidRPr="00D91342">
        <w:rPr>
          <w:spacing w:val="5"/>
          <w:w w:val="111"/>
          <w:szCs w:val="24"/>
        </w:rPr>
        <w:t xml:space="preserve">в качеството си на </w:t>
      </w:r>
      <w:r w:rsidRPr="00D91342">
        <w:rPr>
          <w:szCs w:val="24"/>
        </w:rPr>
        <w:t>………………………………………………………………</w:t>
      </w:r>
    </w:p>
    <w:p w:rsidR="00D91342" w:rsidRPr="00D91342" w:rsidRDefault="00D91342" w:rsidP="005839A8">
      <w:pPr>
        <w:tabs>
          <w:tab w:val="left" w:leader="dot" w:pos="6588"/>
        </w:tabs>
        <w:spacing w:line="360" w:lineRule="auto"/>
        <w:contextualSpacing/>
        <w:jc w:val="center"/>
        <w:rPr>
          <w:i/>
          <w:sz w:val="22"/>
          <w:szCs w:val="22"/>
        </w:rPr>
      </w:pPr>
      <w:r w:rsidRPr="00D91342">
        <w:rPr>
          <w:i/>
          <w:spacing w:val="3"/>
          <w:sz w:val="22"/>
          <w:szCs w:val="22"/>
        </w:rPr>
        <w:t>(длъжност)</w:t>
      </w:r>
    </w:p>
    <w:p w:rsidR="00F87DAF" w:rsidRPr="00A64264" w:rsidRDefault="00D91342" w:rsidP="00F87DAF">
      <w:pPr>
        <w:tabs>
          <w:tab w:val="left" w:pos="0"/>
          <w:tab w:val="center" w:pos="4890"/>
        </w:tabs>
        <w:spacing w:line="360" w:lineRule="auto"/>
        <w:jc w:val="both"/>
        <w:rPr>
          <w:rFonts w:eastAsia="Calibri"/>
          <w:szCs w:val="24"/>
          <w:lang w:eastAsia="en-US"/>
        </w:rPr>
      </w:pPr>
      <w:r w:rsidRPr="00D91342">
        <w:rPr>
          <w:szCs w:val="24"/>
        </w:rPr>
        <w:t>на участник</w:t>
      </w:r>
      <w:r w:rsidRPr="00D91342">
        <w:rPr>
          <w:spacing w:val="3"/>
          <w:w w:val="120"/>
          <w:szCs w:val="24"/>
        </w:rPr>
        <w:t xml:space="preserve">: </w:t>
      </w:r>
      <w:r w:rsidRPr="00D91342">
        <w:rPr>
          <w:szCs w:val="24"/>
        </w:rPr>
        <w:t xml:space="preserve">.……………………………..………………………………………, в процедура за възлагане на обществена поръчка с предмет: </w:t>
      </w:r>
      <w:r w:rsidR="00B03E71" w:rsidRPr="00B03E71">
        <w:rPr>
          <w:rFonts w:eastAsia="Calibri"/>
          <w:szCs w:val="24"/>
          <w:lang w:eastAsia="en-US"/>
        </w:rPr>
        <w:t>„</w:t>
      </w:r>
      <w:r w:rsidR="00B03E71" w:rsidRPr="00B03E71">
        <w:rPr>
          <w:rFonts w:eastAsia="Calibri"/>
          <w:szCs w:val="24"/>
          <w:lang w:val="be-BY" w:eastAsia="en-US"/>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B03E71" w:rsidRPr="00B03E71">
        <w:rPr>
          <w:rFonts w:eastAsia="Calibri"/>
          <w:bCs/>
          <w:szCs w:val="24"/>
          <w:lang w:eastAsia="en-US"/>
        </w:rPr>
        <w:t>Министерството на здравеопазването</w:t>
      </w:r>
      <w:r w:rsidR="00B03E71" w:rsidRPr="00B03E71">
        <w:rPr>
          <w:rFonts w:eastAsia="Calibri"/>
          <w:szCs w:val="24"/>
          <w:lang w:eastAsia="en-US"/>
        </w:rPr>
        <w:t>“</w:t>
      </w:r>
      <w:r w:rsidR="00F87DAF" w:rsidRPr="00A64264">
        <w:rPr>
          <w:rFonts w:eastAsia="Calibri"/>
          <w:szCs w:val="24"/>
          <w:lang w:eastAsia="en-US"/>
        </w:rPr>
        <w:t>,</w:t>
      </w:r>
    </w:p>
    <w:p w:rsidR="00E514F8" w:rsidRPr="00D91342" w:rsidRDefault="00E514F8" w:rsidP="00F87DAF">
      <w:pPr>
        <w:tabs>
          <w:tab w:val="left" w:pos="0"/>
          <w:tab w:val="center" w:pos="4890"/>
        </w:tabs>
        <w:spacing w:line="360" w:lineRule="auto"/>
        <w:jc w:val="both"/>
        <w:rPr>
          <w:b/>
          <w:bCs/>
          <w:spacing w:val="-4"/>
          <w:sz w:val="20"/>
        </w:rPr>
      </w:pPr>
    </w:p>
    <w:p w:rsidR="00D91342" w:rsidRDefault="00D91342" w:rsidP="005839A8">
      <w:pPr>
        <w:spacing w:line="360" w:lineRule="auto"/>
        <w:contextualSpacing/>
        <w:jc w:val="center"/>
        <w:rPr>
          <w:b/>
          <w:bCs/>
          <w:spacing w:val="-4"/>
          <w:szCs w:val="24"/>
        </w:rPr>
      </w:pPr>
      <w:r w:rsidRPr="00D91342">
        <w:rPr>
          <w:b/>
          <w:bCs/>
          <w:spacing w:val="-4"/>
          <w:szCs w:val="24"/>
        </w:rPr>
        <w:t>ДЕКЛАРИРАМ, ЧЕ:</w:t>
      </w:r>
    </w:p>
    <w:p w:rsidR="00373BE5" w:rsidRPr="00D91342" w:rsidRDefault="00373BE5" w:rsidP="005839A8">
      <w:pPr>
        <w:spacing w:line="360" w:lineRule="auto"/>
        <w:contextualSpacing/>
        <w:jc w:val="center"/>
        <w:rPr>
          <w:b/>
          <w:bCs/>
          <w:spacing w:val="-4"/>
          <w:szCs w:val="24"/>
        </w:rPr>
      </w:pPr>
    </w:p>
    <w:p w:rsidR="00D91342" w:rsidRPr="00D91342" w:rsidRDefault="00D91342" w:rsidP="00FE47AB">
      <w:pPr>
        <w:tabs>
          <w:tab w:val="left" w:pos="709"/>
        </w:tabs>
        <w:spacing w:line="360" w:lineRule="auto"/>
        <w:contextualSpacing/>
        <w:jc w:val="both"/>
        <w:rPr>
          <w:rFonts w:eastAsia="Lucida Sans Unicode"/>
          <w:kern w:val="1"/>
          <w:szCs w:val="24"/>
          <w:lang w:eastAsia="ar-SA"/>
        </w:rPr>
      </w:pPr>
      <w:r w:rsidRPr="00D91342">
        <w:rPr>
          <w:rFonts w:eastAsia="Lucida Sans Unicode"/>
          <w:kern w:val="1"/>
          <w:szCs w:val="24"/>
          <w:lang w:eastAsia="ar-SA"/>
        </w:rPr>
        <w:t>Представляваният от мен участник ………………………………………</w:t>
      </w:r>
    </w:p>
    <w:p w:rsidR="00D91342" w:rsidRPr="00D91342" w:rsidRDefault="00D91342" w:rsidP="005839A8">
      <w:pPr>
        <w:tabs>
          <w:tab w:val="left" w:pos="851"/>
        </w:tabs>
        <w:spacing w:line="360" w:lineRule="auto"/>
        <w:contextualSpacing/>
        <w:jc w:val="center"/>
        <w:rPr>
          <w:rFonts w:eastAsia="Lucida Sans Unicode"/>
          <w:i/>
          <w:kern w:val="1"/>
          <w:sz w:val="22"/>
          <w:szCs w:val="22"/>
          <w:lang w:eastAsia="ar-SA"/>
        </w:rPr>
      </w:pPr>
      <w:r w:rsidRPr="00D91342">
        <w:rPr>
          <w:rFonts w:eastAsia="Lucida Sans Unicode"/>
          <w:i/>
          <w:kern w:val="1"/>
          <w:szCs w:val="24"/>
          <w:lang w:eastAsia="ar-SA"/>
        </w:rPr>
        <w:t>/</w:t>
      </w:r>
      <w:r w:rsidRPr="00D91342">
        <w:rPr>
          <w:rFonts w:eastAsia="Lucida Sans Unicode"/>
          <w:i/>
          <w:kern w:val="1"/>
          <w:sz w:val="22"/>
          <w:szCs w:val="22"/>
          <w:lang w:eastAsia="ar-SA"/>
        </w:rPr>
        <w:t>изписва се името/ фирмата на участника/</w:t>
      </w:r>
    </w:p>
    <w:p w:rsidR="00D91342" w:rsidRPr="00D91342" w:rsidRDefault="00D91342" w:rsidP="005839A8">
      <w:pPr>
        <w:tabs>
          <w:tab w:val="left" w:pos="851"/>
        </w:tabs>
        <w:spacing w:line="360" w:lineRule="auto"/>
        <w:contextualSpacing/>
        <w:jc w:val="both"/>
        <w:rPr>
          <w:rFonts w:eastAsia="Lucida Sans Unicode"/>
          <w:kern w:val="1"/>
          <w:szCs w:val="24"/>
          <w:lang w:eastAsia="ar-SA"/>
        </w:rPr>
      </w:pPr>
      <w:r w:rsidRPr="00D91342">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D91342" w:rsidRPr="00D91342" w:rsidRDefault="00D91342" w:rsidP="005839A8">
      <w:pPr>
        <w:spacing w:line="360" w:lineRule="auto"/>
        <w:ind w:firstLine="709"/>
        <w:jc w:val="both"/>
        <w:rPr>
          <w:rFonts w:eastAsia="Arial Unicode MS"/>
          <w:spacing w:val="-2"/>
          <w:szCs w:val="24"/>
        </w:rPr>
      </w:pPr>
      <w:r w:rsidRPr="00D91342">
        <w:rPr>
          <w:rFonts w:eastAsia="Arial Unicode MS"/>
          <w:spacing w:val="-1"/>
          <w:szCs w:val="24"/>
        </w:rPr>
        <w:t xml:space="preserve">Задължавам се да уведомя Възложителя за всички настъпили промени в </w:t>
      </w:r>
      <w:r w:rsidRPr="00D91342">
        <w:rPr>
          <w:rFonts w:eastAsia="Arial Unicode MS"/>
          <w:spacing w:val="-2"/>
          <w:szCs w:val="24"/>
        </w:rPr>
        <w:t xml:space="preserve">декларираните по- горе обстоятелства в </w:t>
      </w:r>
      <w:r w:rsidRPr="00D91342">
        <w:rPr>
          <w:rFonts w:eastAsia="Arial Unicode MS"/>
          <w:b/>
          <w:spacing w:val="-2"/>
          <w:szCs w:val="24"/>
        </w:rPr>
        <w:t>3-дневен срок</w:t>
      </w:r>
      <w:r w:rsidRPr="00D91342">
        <w:rPr>
          <w:rFonts w:eastAsia="Arial Unicode MS"/>
          <w:spacing w:val="-2"/>
          <w:szCs w:val="24"/>
        </w:rPr>
        <w:t xml:space="preserve"> от настъпването им.</w:t>
      </w:r>
    </w:p>
    <w:p w:rsidR="00D91342" w:rsidRPr="00D91342" w:rsidRDefault="00D91342" w:rsidP="005839A8">
      <w:pPr>
        <w:spacing w:line="360" w:lineRule="auto"/>
        <w:ind w:firstLine="709"/>
        <w:jc w:val="both"/>
        <w:rPr>
          <w:rFonts w:eastAsia="Arial Unicode MS"/>
          <w:b/>
          <w:szCs w:val="24"/>
        </w:rPr>
      </w:pPr>
      <w:r w:rsidRPr="00D91342">
        <w:rPr>
          <w:rFonts w:eastAsia="Arial Unicode MS"/>
          <w:b/>
          <w:szCs w:val="24"/>
        </w:rPr>
        <w:t xml:space="preserve">Известна ми е отговорността по чл.313 от НК за посочване на неверни данни. </w:t>
      </w:r>
    </w:p>
    <w:p w:rsidR="00D91342" w:rsidRPr="00D91342" w:rsidRDefault="00D91342" w:rsidP="005839A8">
      <w:pPr>
        <w:tabs>
          <w:tab w:val="left" w:leader="dot" w:pos="0"/>
        </w:tabs>
        <w:spacing w:line="360" w:lineRule="auto"/>
        <w:jc w:val="both"/>
        <w:rPr>
          <w:spacing w:val="-16"/>
          <w:w w:val="111"/>
          <w:szCs w:val="24"/>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E85404" w:rsidRPr="00E85404" w:rsidRDefault="00E85404" w:rsidP="005839A8">
      <w:pPr>
        <w:spacing w:line="360" w:lineRule="auto"/>
        <w:jc w:val="both"/>
        <w:rPr>
          <w:spacing w:val="-4"/>
          <w:szCs w:val="24"/>
          <w:lang w:val="en-US"/>
        </w:rPr>
      </w:pPr>
    </w:p>
    <w:p w:rsidR="00D91342" w:rsidRPr="00D91342" w:rsidRDefault="00D91342" w:rsidP="00507783">
      <w:pPr>
        <w:contextualSpacing/>
        <w:jc w:val="both"/>
        <w:rPr>
          <w:b/>
          <w:bCs/>
          <w:i/>
          <w:spacing w:val="3"/>
          <w:szCs w:val="24"/>
        </w:rPr>
      </w:pPr>
      <w:r w:rsidRPr="00D91342">
        <w:rPr>
          <w:b/>
          <w:bCs/>
          <w:i/>
          <w:spacing w:val="3"/>
          <w:szCs w:val="24"/>
        </w:rPr>
        <w:t>Забележка:</w:t>
      </w:r>
    </w:p>
    <w:p w:rsidR="00D91342" w:rsidRPr="00D91342" w:rsidRDefault="00D91342" w:rsidP="00507783">
      <w:pPr>
        <w:jc w:val="both"/>
        <w:rPr>
          <w:sz w:val="20"/>
        </w:rPr>
      </w:pPr>
      <w:r w:rsidRPr="00D91342">
        <w:rPr>
          <w:bCs/>
          <w:sz w:val="20"/>
        </w:rPr>
        <w:t>Съгласно §2, т.45</w:t>
      </w:r>
      <w:r w:rsidRPr="00D91342">
        <w:rPr>
          <w:sz w:val="20"/>
        </w:rPr>
        <w:t xml:space="preserve"> от допълнителните разпоредби на Закона за обществените поръчки „</w:t>
      </w:r>
      <w:r w:rsidRPr="00D91342">
        <w:rPr>
          <w:i/>
          <w:sz w:val="20"/>
        </w:rPr>
        <w:t>Свързани лица</w:t>
      </w:r>
      <w:r w:rsidRPr="00D91342">
        <w:rPr>
          <w:sz w:val="20"/>
        </w:rPr>
        <w:t xml:space="preserve">“ са тези по смисъла на </w:t>
      </w:r>
      <w:r w:rsidRPr="00D91342">
        <w:rPr>
          <w:bCs/>
          <w:sz w:val="20"/>
        </w:rPr>
        <w:t>§1, т.13 и 14 от допълнителните разпоредби на Закона за публичното предлагане на ценни книжа.</w:t>
      </w:r>
    </w:p>
    <w:p w:rsidR="00D91342" w:rsidRPr="00D91342" w:rsidRDefault="00D91342" w:rsidP="00507783">
      <w:pPr>
        <w:jc w:val="both"/>
        <w:rPr>
          <w:bCs/>
          <w:sz w:val="20"/>
        </w:rPr>
      </w:pPr>
      <w:r w:rsidRPr="00D91342">
        <w:rPr>
          <w:bCs/>
          <w:sz w:val="20"/>
        </w:rPr>
        <w:t>Съгласно §1, т.13 и 14 ДР на Закона за публичното предлагане на ценни книжа са:</w:t>
      </w:r>
    </w:p>
    <w:p w:rsidR="00D91342" w:rsidRPr="00D91342" w:rsidRDefault="00D91342" w:rsidP="00507783">
      <w:pPr>
        <w:jc w:val="both"/>
        <w:rPr>
          <w:bCs/>
          <w:sz w:val="20"/>
        </w:rPr>
      </w:pPr>
      <w:r w:rsidRPr="00D91342">
        <w:rPr>
          <w:bCs/>
          <w:sz w:val="20"/>
        </w:rPr>
        <w:t>„т.13 /Предишна т.11 – ДВ, бр.61 от 2002 г., предишна т.12, бр.103 от 2012 г./ „Свързани лица“ са:</w:t>
      </w:r>
    </w:p>
    <w:p w:rsidR="00D91342" w:rsidRPr="00D91342" w:rsidRDefault="00D91342" w:rsidP="00507783">
      <w:pPr>
        <w:jc w:val="both"/>
        <w:rPr>
          <w:bCs/>
          <w:sz w:val="20"/>
        </w:rPr>
      </w:pPr>
      <w:r w:rsidRPr="00D91342">
        <w:rPr>
          <w:bCs/>
          <w:sz w:val="20"/>
        </w:rPr>
        <w:t>а/ /изм. – ДВ, бр.39 от 2005 г./ лицата, едното от които контролира другото лице или негово дъщерно дружество;</w:t>
      </w:r>
    </w:p>
    <w:p w:rsidR="00D91342" w:rsidRPr="00D91342" w:rsidRDefault="00D91342" w:rsidP="00507783">
      <w:pPr>
        <w:jc w:val="both"/>
        <w:rPr>
          <w:bCs/>
          <w:sz w:val="20"/>
        </w:rPr>
      </w:pPr>
      <w:r w:rsidRPr="00D91342">
        <w:rPr>
          <w:bCs/>
          <w:sz w:val="20"/>
        </w:rPr>
        <w:t>б/ лицата, чиято дейност се контролира от трето лице;</w:t>
      </w:r>
    </w:p>
    <w:p w:rsidR="00D91342" w:rsidRPr="00D91342" w:rsidRDefault="00D91342" w:rsidP="00507783">
      <w:pPr>
        <w:jc w:val="both"/>
        <w:rPr>
          <w:bCs/>
          <w:sz w:val="20"/>
        </w:rPr>
      </w:pPr>
      <w:r w:rsidRPr="00D91342">
        <w:rPr>
          <w:bCs/>
          <w:sz w:val="20"/>
        </w:rPr>
        <w:t>в/ лицата, които съвместно контролират трето лице;</w:t>
      </w:r>
    </w:p>
    <w:p w:rsidR="00D91342" w:rsidRPr="00D91342" w:rsidRDefault="00D91342" w:rsidP="00507783">
      <w:pPr>
        <w:jc w:val="both"/>
        <w:rPr>
          <w:bCs/>
          <w:sz w:val="20"/>
        </w:rPr>
      </w:pPr>
      <w:r w:rsidRPr="00D91342">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1342" w:rsidRPr="00D91342" w:rsidRDefault="00D91342" w:rsidP="00507783">
      <w:pPr>
        <w:jc w:val="both"/>
        <w:rPr>
          <w:bCs/>
          <w:sz w:val="20"/>
        </w:rPr>
      </w:pPr>
      <w:r w:rsidRPr="00D91342">
        <w:rPr>
          <w:bCs/>
          <w:sz w:val="20"/>
        </w:rPr>
        <w:t>т.14 /Предишна т.12, изм. – ДВ, бр.61 от 2002 г., предишна т.13, бр.103 от 2002 г./ „Контрол“ е налице, когато едно лице:</w:t>
      </w:r>
    </w:p>
    <w:p w:rsidR="00D91342" w:rsidRPr="00D91342" w:rsidRDefault="00D91342" w:rsidP="00507783">
      <w:pPr>
        <w:jc w:val="both"/>
        <w:rPr>
          <w:bCs/>
          <w:sz w:val="20"/>
        </w:rPr>
      </w:pPr>
      <w:r w:rsidRPr="00D91342">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1342" w:rsidRPr="00D91342" w:rsidRDefault="00D91342" w:rsidP="00507783">
      <w:pPr>
        <w:jc w:val="both"/>
        <w:rPr>
          <w:bCs/>
          <w:sz w:val="20"/>
        </w:rPr>
      </w:pPr>
      <w:r w:rsidRPr="00D91342">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1342" w:rsidRPr="00D91342" w:rsidRDefault="00D91342" w:rsidP="00507783">
      <w:pPr>
        <w:jc w:val="both"/>
        <w:rPr>
          <w:bCs/>
          <w:sz w:val="20"/>
        </w:rPr>
      </w:pPr>
      <w:r w:rsidRPr="00D91342">
        <w:rPr>
          <w:bCs/>
          <w:sz w:val="20"/>
        </w:rPr>
        <w:t>в/ може по друг начин да упражнява решаващо влияние върху вземането на решения във връзка с дейността на юридическо лице.“</w:t>
      </w:r>
    </w:p>
    <w:p w:rsidR="00D91342" w:rsidRDefault="00D91342" w:rsidP="005839A8">
      <w:pPr>
        <w:spacing w:line="360" w:lineRule="auto"/>
        <w:rPr>
          <w:bCs/>
          <w:sz w:val="20"/>
        </w:rPr>
      </w:pPr>
      <w:r>
        <w:rPr>
          <w:bCs/>
          <w:sz w:val="20"/>
        </w:rPr>
        <w:br w:type="page"/>
      </w:r>
    </w:p>
    <w:p w:rsidR="00D91342" w:rsidRPr="00D91342" w:rsidRDefault="00D91342" w:rsidP="005839A8">
      <w:pPr>
        <w:spacing w:line="360" w:lineRule="auto"/>
        <w:ind w:left="7080" w:firstLine="708"/>
        <w:jc w:val="center"/>
        <w:rPr>
          <w:rFonts w:eastAsiaTheme="minorHAnsi"/>
          <w:b/>
          <w:i/>
          <w:szCs w:val="24"/>
          <w:lang w:eastAsia="en-US" w:bidi="bn-BD"/>
        </w:rPr>
      </w:pPr>
      <w:r w:rsidRPr="00D91342">
        <w:rPr>
          <w:rFonts w:eastAsiaTheme="minorHAnsi"/>
          <w:b/>
          <w:bCs/>
          <w:i/>
          <w:szCs w:val="24"/>
          <w:lang w:eastAsia="en-US" w:bidi="bn-BD"/>
        </w:rPr>
        <w:lastRenderedPageBreak/>
        <w:t>ОБРАЗЕЦ</w:t>
      </w:r>
    </w:p>
    <w:p w:rsidR="00853FAB" w:rsidRDefault="00853FAB" w:rsidP="005839A8">
      <w:pPr>
        <w:spacing w:line="360" w:lineRule="auto"/>
        <w:jc w:val="center"/>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D91342" w:rsidRPr="00D91342" w:rsidRDefault="00D91342" w:rsidP="005839A8">
      <w:pPr>
        <w:spacing w:line="360" w:lineRule="auto"/>
        <w:ind w:left="1416" w:firstLine="708"/>
        <w:jc w:val="both"/>
        <w:rPr>
          <w:rFonts w:eastAsiaTheme="minorHAnsi"/>
          <w:szCs w:val="24"/>
          <w:lang w:eastAsia="en-US" w:bidi="bn-BD"/>
        </w:rPr>
      </w:pPr>
      <w:r w:rsidRPr="00D91342">
        <w:rPr>
          <w:rFonts w:eastAsiaTheme="minorHAnsi"/>
          <w:b/>
          <w:szCs w:val="24"/>
          <w:lang w:eastAsia="en-US" w:bidi="bn-BD"/>
        </w:rPr>
        <w:t xml:space="preserve">По чл. 47, ал. 3 от Закона за обществените поръчки </w:t>
      </w:r>
    </w:p>
    <w:p w:rsidR="00F87DAF" w:rsidRPr="00F87DAF" w:rsidRDefault="00D91342" w:rsidP="00F87DAF">
      <w:pPr>
        <w:spacing w:line="360" w:lineRule="auto"/>
        <w:ind w:firstLine="720"/>
        <w:jc w:val="both"/>
        <w:rPr>
          <w:rFonts w:eastAsiaTheme="minorHAnsi"/>
          <w:szCs w:val="24"/>
          <w:lang w:eastAsia="en-US" w:bidi="bn-BD"/>
        </w:rPr>
      </w:pPr>
      <w:r w:rsidRPr="00D91342">
        <w:rPr>
          <w:rFonts w:eastAsiaTheme="minorHAnsi"/>
          <w:szCs w:val="24"/>
          <w:lang w:eastAsia="en-US" w:bidi="bn-BD"/>
        </w:rPr>
        <w:t>Долуподписаният/-ната/ ......................................................................................</w:t>
      </w:r>
      <w:r w:rsidR="00111A84">
        <w:rPr>
          <w:rFonts w:eastAsiaTheme="minorHAnsi"/>
          <w:szCs w:val="24"/>
          <w:lang w:eastAsia="en-US" w:bidi="bn-BD"/>
        </w:rPr>
        <w:t>...................</w:t>
      </w:r>
      <w:r w:rsidR="00120BF0">
        <w:rPr>
          <w:rFonts w:eastAsiaTheme="minorHAnsi"/>
          <w:szCs w:val="24"/>
          <w:lang w:eastAsia="en-US" w:bidi="bn-BD"/>
        </w:rPr>
        <w:t xml:space="preserve"> </w:t>
      </w:r>
      <w:r w:rsidRPr="00D91342">
        <w:rPr>
          <w:rFonts w:eastAsiaTheme="minorHAnsi"/>
          <w:szCs w:val="24"/>
          <w:lang w:eastAsia="en-US"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w:t>
      </w:r>
      <w:r w:rsidR="00FE47AB">
        <w:rPr>
          <w:rFonts w:eastAsiaTheme="minorHAnsi"/>
          <w:szCs w:val="24"/>
          <w:lang w:eastAsia="en-US" w:bidi="bn-BD"/>
        </w:rPr>
        <w:t xml:space="preserve">………… </w:t>
      </w:r>
      <w:r w:rsidRPr="00D91342">
        <w:rPr>
          <w:rFonts w:eastAsiaTheme="minorHAnsi"/>
          <w:szCs w:val="24"/>
          <w:lang w:eastAsia="en-US" w:bidi="bn-BD"/>
        </w:rPr>
        <w:t>(посочва се наименованието на участника), с ЕИК ……</w:t>
      </w:r>
      <w:r w:rsidR="00111A84">
        <w:rPr>
          <w:rFonts w:eastAsiaTheme="minorHAnsi"/>
          <w:szCs w:val="24"/>
          <w:lang w:eastAsia="en-US" w:bidi="bn-BD"/>
        </w:rPr>
        <w:t>…………………</w:t>
      </w:r>
      <w:r w:rsidRPr="00D91342">
        <w:rPr>
          <w:rFonts w:eastAsiaTheme="minorHAnsi"/>
          <w:szCs w:val="24"/>
          <w:lang w:eastAsia="en-US" w:bidi="bn-BD"/>
        </w:rPr>
        <w:t>……, със седалище и адрес на управление: ................................................</w:t>
      </w:r>
      <w:r w:rsidR="00111A84">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sidR="004858EF">
        <w:rPr>
          <w:rFonts w:eastAsiaTheme="minorHAnsi"/>
          <w:szCs w:val="24"/>
          <w:lang w:eastAsia="en-US" w:bidi="bn-BD"/>
        </w:rPr>
        <w:t>а обществена поръчка с предмет</w:t>
      </w:r>
      <w:r w:rsidR="00F87DAF">
        <w:rPr>
          <w:rFonts w:eastAsiaTheme="minorHAnsi"/>
          <w:szCs w:val="24"/>
          <w:lang w:eastAsia="en-US" w:bidi="bn-BD"/>
        </w:rPr>
        <w:t xml:space="preserve">: </w:t>
      </w:r>
      <w:r w:rsidR="00F87DAF" w:rsidRPr="00F87DAF">
        <w:rPr>
          <w:rFonts w:eastAsiaTheme="minorHAnsi"/>
          <w:szCs w:val="24"/>
          <w:lang w:eastAsia="en-US" w:bidi="bn-BD"/>
        </w:rPr>
        <w:t>„</w:t>
      </w:r>
      <w:r w:rsidR="00FE47AB" w:rsidRPr="00FE47AB">
        <w:rPr>
          <w:rFonts w:eastAsiaTheme="minorHAnsi"/>
          <w:szCs w:val="24"/>
          <w:lang w:val="be-BY" w:eastAsia="en-US" w:bidi="bn-BD"/>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FE47AB" w:rsidRPr="00FE47AB">
        <w:rPr>
          <w:rFonts w:eastAsiaTheme="minorHAnsi"/>
          <w:bCs/>
          <w:szCs w:val="24"/>
          <w:lang w:eastAsia="en-US" w:bidi="bn-BD"/>
        </w:rPr>
        <w:t>Министерството на здравеопазването</w:t>
      </w:r>
      <w:r w:rsidR="00FE47AB" w:rsidRPr="00FE47AB">
        <w:rPr>
          <w:rFonts w:eastAsiaTheme="minorHAnsi"/>
          <w:szCs w:val="24"/>
          <w:lang w:eastAsia="en-US" w:bidi="bn-BD"/>
        </w:rPr>
        <w:t>“</w:t>
      </w:r>
      <w:r w:rsidR="00F87DAF" w:rsidRPr="00F87DAF">
        <w:rPr>
          <w:rFonts w:eastAsiaTheme="minorHAnsi"/>
          <w:szCs w:val="24"/>
          <w:lang w:eastAsia="en-US" w:bidi="bn-BD"/>
        </w:rPr>
        <w:t>,</w:t>
      </w:r>
    </w:p>
    <w:p w:rsidR="00D91342" w:rsidRPr="00D91342" w:rsidRDefault="00D91342" w:rsidP="005839A8">
      <w:pPr>
        <w:spacing w:line="360" w:lineRule="auto"/>
        <w:jc w:val="both"/>
        <w:rPr>
          <w:rFonts w:eastAsiaTheme="minorHAnsi"/>
          <w:szCs w:val="24"/>
          <w:lang w:eastAsia="en-US" w:bidi="bn-BD"/>
        </w:rPr>
      </w:pPr>
    </w:p>
    <w:p w:rsidR="00D91342" w:rsidRPr="00D91342" w:rsidRDefault="00D91342" w:rsidP="005839A8">
      <w:pPr>
        <w:spacing w:line="360" w:lineRule="auto"/>
        <w:jc w:val="both"/>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D91342" w:rsidRPr="00D91342" w:rsidRDefault="00D91342" w:rsidP="005839A8">
      <w:pPr>
        <w:spacing w:line="360"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D91342" w:rsidRDefault="00D91342" w:rsidP="005839A8">
      <w:pPr>
        <w:spacing w:line="360"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91342" w:rsidRDefault="00D91342" w:rsidP="005839A8">
      <w:pPr>
        <w:spacing w:line="360" w:lineRule="auto"/>
        <w:jc w:val="both"/>
        <w:rPr>
          <w:rFonts w:eastAsiaTheme="minorHAnsi"/>
          <w:szCs w:val="24"/>
          <w:lang w:eastAsia="en-US" w:bidi="bn-BD"/>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F87DAF" w:rsidRDefault="00F87DAF" w:rsidP="00F87DAF">
      <w:pPr>
        <w:spacing w:line="360" w:lineRule="auto"/>
        <w:rPr>
          <w:rFonts w:eastAsia="Verdana-Italic"/>
          <w:szCs w:val="24"/>
          <w:lang w:eastAsia="en-US"/>
        </w:rPr>
      </w:pPr>
      <w:r>
        <w:rPr>
          <w:rFonts w:eastAsia="Verdana-Italic"/>
          <w:szCs w:val="24"/>
          <w:lang w:eastAsia="en-US"/>
        </w:rPr>
        <w:br w:type="page"/>
      </w:r>
    </w:p>
    <w:p w:rsidR="00F711B0" w:rsidRPr="00B868E2" w:rsidRDefault="00B868E2" w:rsidP="005839A8">
      <w:pPr>
        <w:spacing w:line="360" w:lineRule="auto"/>
        <w:ind w:left="284"/>
        <w:jc w:val="right"/>
        <w:rPr>
          <w:rFonts w:eastAsia="Calibri"/>
          <w:b/>
          <w:bCs/>
          <w:i/>
          <w:szCs w:val="24"/>
          <w:lang w:eastAsia="en-US"/>
        </w:rPr>
      </w:pPr>
      <w:r>
        <w:rPr>
          <w:rFonts w:eastAsia="Calibri"/>
          <w:b/>
          <w:bCs/>
          <w:i/>
          <w:szCs w:val="24"/>
          <w:lang w:eastAsia="en-US"/>
        </w:rPr>
        <w:lastRenderedPageBreak/>
        <w:t xml:space="preserve">ОБРАЗЕЦ </w:t>
      </w:r>
    </w:p>
    <w:p w:rsidR="004E1B92" w:rsidRPr="00905AD2" w:rsidRDefault="004E1B92" w:rsidP="005839A8">
      <w:pPr>
        <w:tabs>
          <w:tab w:val="left" w:pos="0"/>
          <w:tab w:val="center" w:pos="4890"/>
        </w:tabs>
        <w:spacing w:line="360" w:lineRule="auto"/>
        <w:jc w:val="center"/>
        <w:rPr>
          <w:rFonts w:eastAsia="Calibri"/>
          <w:b/>
          <w:i/>
          <w:szCs w:val="24"/>
          <w:lang w:eastAsia="en-US"/>
        </w:rPr>
      </w:pPr>
      <w:r w:rsidRPr="00905AD2">
        <w:rPr>
          <w:rFonts w:eastAsia="Calibri"/>
          <w:b/>
          <w:i/>
          <w:szCs w:val="24"/>
          <w:lang w:eastAsia="en-US"/>
        </w:rPr>
        <w:t>ЦЕНОВО ПРЕДЛОЖЕНИЕ</w:t>
      </w:r>
    </w:p>
    <w:p w:rsidR="004E1B92" w:rsidRPr="00905AD2" w:rsidRDefault="004E1B92" w:rsidP="005839A8">
      <w:pPr>
        <w:tabs>
          <w:tab w:val="left" w:pos="0"/>
          <w:tab w:val="center" w:pos="4890"/>
        </w:tabs>
        <w:spacing w:line="360" w:lineRule="auto"/>
        <w:jc w:val="center"/>
        <w:rPr>
          <w:rFonts w:eastAsia="Calibri"/>
          <w:b/>
          <w:i/>
          <w:szCs w:val="24"/>
          <w:lang w:eastAsia="en-US"/>
        </w:rPr>
      </w:pP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ДО:…………………………………………………………………………………………………….</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От: …………………………………………………………………………………………………….</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с адрес: гр. ………………………… ул. …………………………………………………..№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тел.: …………………………, факс: ………………….., e-mail: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Бу</w:t>
      </w:r>
      <w:r w:rsidR="00E93618" w:rsidRPr="00905AD2">
        <w:rPr>
          <w:rFonts w:eastAsia="Calibri"/>
          <w:szCs w:val="24"/>
          <w:lang w:eastAsia="en-US"/>
        </w:rPr>
        <w:t>лстат / ЕИК: ………………………………………..,</w:t>
      </w:r>
    </w:p>
    <w:p w:rsidR="00FD6D9A" w:rsidRPr="00905AD2" w:rsidRDefault="00765624" w:rsidP="005839A8">
      <w:pPr>
        <w:spacing w:line="360" w:lineRule="auto"/>
        <w:jc w:val="both"/>
        <w:rPr>
          <w:rFonts w:eastAsia="Calibri"/>
          <w:szCs w:val="24"/>
          <w:lang w:eastAsia="en-US"/>
        </w:rPr>
      </w:pPr>
      <w:r w:rsidRPr="00905AD2">
        <w:rPr>
          <w:rFonts w:eastAsia="Calibri"/>
          <w:szCs w:val="24"/>
          <w:lang w:eastAsia="en-US"/>
        </w:rPr>
        <w:t>Разплащателна сметка:</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 код:___________________;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банкова сметка:_______________ ;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банка: _______________________ ; </w:t>
      </w:r>
    </w:p>
    <w:p w:rsidR="00E30DDC" w:rsidRPr="00905AD2" w:rsidRDefault="00FD6D9A" w:rsidP="005839A8">
      <w:pPr>
        <w:spacing w:line="360" w:lineRule="auto"/>
        <w:jc w:val="both"/>
        <w:rPr>
          <w:rFonts w:eastAsia="Calibri"/>
          <w:szCs w:val="24"/>
          <w:lang w:eastAsia="en-US"/>
        </w:rPr>
      </w:pPr>
      <w:r w:rsidRPr="00905AD2">
        <w:rPr>
          <w:rFonts w:eastAsia="Calibri"/>
          <w:szCs w:val="24"/>
          <w:lang w:eastAsia="en-US"/>
        </w:rPr>
        <w:t>град/клон/офис: _______________;</w:t>
      </w:r>
    </w:p>
    <w:p w:rsidR="00C20FF0" w:rsidRDefault="00C20FF0" w:rsidP="005839A8">
      <w:pPr>
        <w:autoSpaceDE w:val="0"/>
        <w:autoSpaceDN w:val="0"/>
        <w:adjustRightInd w:val="0"/>
        <w:spacing w:line="360" w:lineRule="auto"/>
        <w:ind w:firstLine="851"/>
        <w:jc w:val="both"/>
        <w:rPr>
          <w:rFonts w:eastAsia="Calibri"/>
          <w:szCs w:val="24"/>
          <w:lang w:eastAsia="en-US"/>
        </w:rPr>
      </w:pPr>
    </w:p>
    <w:p w:rsidR="00DD4B1C" w:rsidRPr="0054354F" w:rsidRDefault="00DD4B1C" w:rsidP="005839A8">
      <w:pPr>
        <w:spacing w:line="360" w:lineRule="auto"/>
        <w:ind w:firstLine="708"/>
        <w:contextualSpacing/>
        <w:jc w:val="both"/>
        <w:rPr>
          <w:rFonts w:eastAsia="Calibri"/>
          <w:b/>
          <w:iCs/>
          <w:szCs w:val="24"/>
        </w:rPr>
      </w:pPr>
      <w:r w:rsidRPr="0054354F">
        <w:rPr>
          <w:rFonts w:eastAsia="Calibri"/>
          <w:b/>
          <w:szCs w:val="24"/>
        </w:rPr>
        <w:t>УВАЖАЕМИ ДАМИ И ГОСПОДА,</w:t>
      </w:r>
    </w:p>
    <w:p w:rsidR="00DD4B1C" w:rsidRPr="0054354F" w:rsidRDefault="00DD4B1C" w:rsidP="005839A8">
      <w:pPr>
        <w:spacing w:line="360" w:lineRule="auto"/>
        <w:ind w:firstLine="708"/>
        <w:contextualSpacing/>
        <w:jc w:val="both"/>
        <w:rPr>
          <w:rFonts w:eastAsia="Calibri"/>
          <w:b/>
          <w:iCs/>
          <w:szCs w:val="24"/>
        </w:rPr>
      </w:pPr>
    </w:p>
    <w:p w:rsidR="00DD4B1C" w:rsidRDefault="00DD4B1C" w:rsidP="005839A8">
      <w:pPr>
        <w:spacing w:line="360" w:lineRule="auto"/>
        <w:contextualSpacing/>
        <w:jc w:val="both"/>
        <w:rPr>
          <w:rFonts w:eastAsia="Calibri"/>
          <w:szCs w:val="24"/>
        </w:rPr>
      </w:pPr>
      <w:r w:rsidRPr="0054354F">
        <w:rPr>
          <w:rFonts w:eastAsia="Calibri"/>
          <w:b/>
          <w:szCs w:val="24"/>
        </w:rPr>
        <w:tab/>
      </w:r>
      <w:r w:rsidR="004F2D08" w:rsidRPr="004F2D08">
        <w:rPr>
          <w:rFonts w:eastAsia="Calibri"/>
          <w:szCs w:val="24"/>
        </w:rPr>
        <w:t>С настоящото, Ви представяме нашето ценово предложение за изпълнението на</w:t>
      </w:r>
      <w:r w:rsidR="004F2D08">
        <w:rPr>
          <w:rFonts w:eastAsia="Calibri"/>
          <w:b/>
          <w:szCs w:val="24"/>
        </w:rPr>
        <w:t xml:space="preserve"> </w:t>
      </w:r>
      <w:r w:rsidRPr="0054354F">
        <w:rPr>
          <w:rFonts w:eastAsia="Calibri"/>
          <w:szCs w:val="24"/>
        </w:rPr>
        <w:t xml:space="preserve">обявената от Вас процедура за </w:t>
      </w:r>
      <w:r w:rsidR="00144031" w:rsidRPr="009E20EC">
        <w:rPr>
          <w:szCs w:val="24"/>
        </w:rPr>
        <w:t>възлагане на обществена поръчка на стойност по чл.</w:t>
      </w:r>
      <w:r w:rsidR="00A61862">
        <w:rPr>
          <w:szCs w:val="24"/>
        </w:rPr>
        <w:t xml:space="preserve"> </w:t>
      </w:r>
      <w:r w:rsidR="00144031" w:rsidRPr="009E20EC">
        <w:rPr>
          <w:szCs w:val="24"/>
        </w:rPr>
        <w:t>20, ал.</w:t>
      </w:r>
      <w:r w:rsidR="00A61862">
        <w:rPr>
          <w:szCs w:val="24"/>
        </w:rPr>
        <w:t xml:space="preserve"> </w:t>
      </w:r>
      <w:r w:rsidR="00144031" w:rsidRPr="009E20EC">
        <w:rPr>
          <w:szCs w:val="24"/>
        </w:rPr>
        <w:t>3 от ЗОП</w:t>
      </w:r>
      <w:r w:rsidR="00144031" w:rsidRPr="0054354F">
        <w:rPr>
          <w:rFonts w:eastAsia="Calibri"/>
          <w:szCs w:val="24"/>
        </w:rPr>
        <w:t xml:space="preserve"> </w:t>
      </w:r>
      <w:r w:rsidRPr="0054354F">
        <w:rPr>
          <w:rFonts w:eastAsia="Calibri"/>
          <w:szCs w:val="24"/>
        </w:rPr>
        <w:t xml:space="preserve">с предмет: </w:t>
      </w:r>
      <w:r w:rsidR="00DF7784" w:rsidRPr="00DF7784">
        <w:rPr>
          <w:rFonts w:eastAsia="Calibri"/>
          <w:szCs w:val="24"/>
        </w:rPr>
        <w:t>„</w:t>
      </w:r>
      <w:r w:rsidR="00DF7784" w:rsidRPr="00DF7784">
        <w:rPr>
          <w:rFonts w:eastAsia="Calibri"/>
          <w:szCs w:val="24"/>
          <w:lang w:val="be-BY"/>
        </w:rPr>
        <w:t xml:space="preserve">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DF7784" w:rsidRPr="00DF7784">
        <w:rPr>
          <w:rFonts w:eastAsia="Calibri"/>
          <w:bCs/>
          <w:szCs w:val="24"/>
        </w:rPr>
        <w:t>Министерството на здравеопазването</w:t>
      </w:r>
      <w:r w:rsidR="00DF7784" w:rsidRPr="00DF7784">
        <w:rPr>
          <w:rFonts w:eastAsia="Calibri"/>
          <w:szCs w:val="24"/>
        </w:rPr>
        <w:t>“</w:t>
      </w:r>
      <w:r w:rsidR="004F2D08" w:rsidRPr="004F2D08">
        <w:rPr>
          <w:rFonts w:eastAsia="Calibri"/>
          <w:szCs w:val="24"/>
        </w:rPr>
        <w:t>,</w:t>
      </w:r>
      <w:r w:rsidRPr="0054354F">
        <w:rPr>
          <w:rFonts w:eastAsia="Calibri"/>
          <w:szCs w:val="24"/>
        </w:rPr>
        <w:t xml:space="preserve"> както следва:</w:t>
      </w:r>
    </w:p>
    <w:p w:rsidR="00943635" w:rsidRPr="0054354F" w:rsidRDefault="00943635" w:rsidP="005839A8">
      <w:pPr>
        <w:spacing w:line="360" w:lineRule="auto"/>
        <w:contextualSpacing/>
        <w:jc w:val="both"/>
        <w:rPr>
          <w:rFonts w:eastAsia="Calibri"/>
          <w:bCs/>
          <w:i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654"/>
        <w:gridCol w:w="1701"/>
      </w:tblGrid>
      <w:tr w:rsidR="00842469" w:rsidRPr="00842469" w:rsidTr="00CF459E">
        <w:trPr>
          <w:trHeight w:val="386"/>
        </w:trPr>
        <w:tc>
          <w:tcPr>
            <w:tcW w:w="392" w:type="dxa"/>
          </w:tcPr>
          <w:p w:rsidR="00842469" w:rsidRPr="00842469" w:rsidRDefault="00842469" w:rsidP="00842469">
            <w:pPr>
              <w:spacing w:line="20" w:lineRule="atLeast"/>
              <w:rPr>
                <w:rFonts w:eastAsia="Calibri"/>
                <w:b/>
                <w:sz w:val="22"/>
                <w:szCs w:val="22"/>
                <w:lang w:eastAsia="en-US"/>
              </w:rPr>
            </w:pPr>
            <w:r w:rsidRPr="00842469">
              <w:rPr>
                <w:rFonts w:eastAsia="Calibri"/>
                <w:b/>
                <w:sz w:val="22"/>
                <w:szCs w:val="22"/>
                <w:lang w:eastAsia="en-US"/>
              </w:rPr>
              <w:t>№</w:t>
            </w:r>
          </w:p>
        </w:tc>
        <w:tc>
          <w:tcPr>
            <w:tcW w:w="7654" w:type="dxa"/>
            <w:hideMark/>
          </w:tcPr>
          <w:p w:rsidR="00842469" w:rsidRPr="00842469" w:rsidRDefault="00842469" w:rsidP="00842469">
            <w:pPr>
              <w:spacing w:line="20" w:lineRule="atLeast"/>
              <w:jc w:val="center"/>
              <w:rPr>
                <w:rFonts w:eastAsia="Calibri"/>
                <w:b/>
                <w:sz w:val="22"/>
                <w:szCs w:val="22"/>
                <w:lang w:eastAsia="en-US"/>
              </w:rPr>
            </w:pPr>
            <w:r w:rsidRPr="00842469">
              <w:rPr>
                <w:rFonts w:eastAsia="Calibri"/>
                <w:b/>
                <w:sz w:val="22"/>
                <w:szCs w:val="22"/>
                <w:lang w:eastAsia="en-US"/>
              </w:rPr>
              <w:t>Показател</w:t>
            </w:r>
          </w:p>
        </w:tc>
        <w:tc>
          <w:tcPr>
            <w:tcW w:w="1701" w:type="dxa"/>
            <w:hideMark/>
          </w:tcPr>
          <w:p w:rsidR="00842469" w:rsidRPr="00842469" w:rsidRDefault="00842469" w:rsidP="00842469">
            <w:pPr>
              <w:spacing w:line="20" w:lineRule="atLeast"/>
              <w:jc w:val="both"/>
              <w:rPr>
                <w:rFonts w:eastAsia="Calibri"/>
                <w:b/>
                <w:sz w:val="22"/>
                <w:szCs w:val="22"/>
                <w:lang w:eastAsia="en-US"/>
              </w:rPr>
            </w:pPr>
            <w:r w:rsidRPr="00842469">
              <w:rPr>
                <w:rFonts w:eastAsia="Calibri"/>
                <w:b/>
                <w:sz w:val="22"/>
                <w:szCs w:val="22"/>
                <w:lang w:eastAsia="en-US"/>
              </w:rPr>
              <w:t>Цена в лв.</w:t>
            </w:r>
            <w:r w:rsidRPr="00842469">
              <w:rPr>
                <w:rFonts w:eastAsia="Calibri"/>
                <w:b/>
                <w:sz w:val="22"/>
                <w:szCs w:val="22"/>
                <w:lang w:val="en-US" w:eastAsia="en-US"/>
              </w:rPr>
              <w:t xml:space="preserve"> </w:t>
            </w:r>
            <w:r w:rsidRPr="00842469">
              <w:rPr>
                <w:rFonts w:eastAsia="Calibri"/>
                <w:b/>
                <w:sz w:val="22"/>
                <w:szCs w:val="22"/>
                <w:lang w:eastAsia="en-US"/>
              </w:rPr>
              <w:t>без ДДС</w:t>
            </w:r>
            <w:r w:rsidRPr="00842469">
              <w:rPr>
                <w:rFonts w:eastAsia="Calibri"/>
                <w:b/>
                <w:sz w:val="22"/>
                <w:szCs w:val="22"/>
                <w:lang w:val="en-US" w:eastAsia="en-US"/>
              </w:rPr>
              <w:t>/бро</w:t>
            </w:r>
            <w:r w:rsidRPr="00842469">
              <w:rPr>
                <w:rFonts w:eastAsia="Calibri"/>
                <w:b/>
                <w:sz w:val="22"/>
                <w:szCs w:val="22"/>
                <w:lang w:eastAsia="en-US"/>
              </w:rPr>
              <w:t>й/%</w:t>
            </w: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val="en-US" w:eastAsia="en-US"/>
              </w:rPr>
            </w:pPr>
            <w:r w:rsidRPr="00842469">
              <w:rPr>
                <w:rFonts w:eastAsia="Calibri"/>
                <w:sz w:val="22"/>
                <w:szCs w:val="22"/>
                <w:lang w:eastAsia="en-US"/>
              </w:rPr>
              <w:t>Месечна абонаментна такса за Тарифен план 1 - SIM карти за мобилни телефони с включен неограничен достъп до интернет от който 3 GB на максимална скорост</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Брой включени безплатни минути за национални разговори извън групата (към всички национални мобилни и национални фиксирани мрежи) за Тарифен план 1</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Месечна абонаментна такса за Тарифен план 2 - SIM карти за мобилни телефони</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Брой включени безплатни минути за национални разговори извън групата (към всички национални мобилни и национални фиксирани мрежи) за Тарифен план 2</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 xml:space="preserve">Месечна абонаментна такса за високоскоростен неограничен мобилен интернет чрез </w:t>
            </w:r>
            <w:r w:rsidRPr="00842469">
              <w:rPr>
                <w:rFonts w:eastAsia="Calibri"/>
                <w:sz w:val="22"/>
                <w:szCs w:val="22"/>
                <w:lang w:val="en-US" w:eastAsia="en-US"/>
              </w:rPr>
              <w:t>3</w:t>
            </w:r>
            <w:r w:rsidRPr="00842469">
              <w:rPr>
                <w:rFonts w:eastAsia="Calibri"/>
                <w:sz w:val="22"/>
                <w:szCs w:val="22"/>
                <w:lang w:eastAsia="en-US"/>
              </w:rPr>
              <w:t>G USB модем на максимална скорост на една СИМ карта</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rPr>
                <w:rFonts w:eastAsia="Calibri"/>
                <w:sz w:val="22"/>
                <w:szCs w:val="22"/>
                <w:lang w:eastAsia="en-US"/>
              </w:rPr>
            </w:pPr>
          </w:p>
        </w:tc>
        <w:tc>
          <w:tcPr>
            <w:tcW w:w="7654" w:type="dxa"/>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Цена за месечна абонаментна такса за карта за пренос за данни с включен неограничен достъп до интернет, от който 5 GB на максимална скорост</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rPr>
          <w:trHeight w:val="437"/>
        </w:trPr>
        <w:tc>
          <w:tcPr>
            <w:tcW w:w="392" w:type="dxa"/>
          </w:tcPr>
          <w:p w:rsidR="00842469" w:rsidRPr="00842469" w:rsidRDefault="00842469" w:rsidP="00842469">
            <w:pPr>
              <w:numPr>
                <w:ilvl w:val="0"/>
                <w:numId w:val="25"/>
              </w:numPr>
              <w:spacing w:after="200" w:line="20" w:lineRule="atLeast"/>
              <w:ind w:left="142" w:hanging="142"/>
              <w:jc w:val="both"/>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val="en-US" w:eastAsia="en-US"/>
              </w:rPr>
            </w:pPr>
            <w:r w:rsidRPr="00842469">
              <w:rPr>
                <w:rFonts w:eastAsia="Calibri"/>
                <w:sz w:val="22"/>
                <w:szCs w:val="22"/>
                <w:lang w:eastAsia="en-US"/>
              </w:rPr>
              <w:t>Цена на една минута разговор към мобилната мрежа на Мобилтел ЕАД, след изчерпване на безплатни минути (за Тарифен план 1 и Тарифен план 2)</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jc w:val="both"/>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Цена на една минута разговор към мобилната мрежа на Теленор ЕАД, след изчерпване на безплатни минути (за Тарифен план 1 и Тарифен план 2)</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jc w:val="both"/>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Цена на една минута разговор към мобилната мрежа на БТК ЕАД, след изчерпване на безплатни минути (за Тарифен план 1 и Тарифен план 2)</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Pr>
          <w:p w:rsidR="00842469" w:rsidRPr="00842469" w:rsidRDefault="00842469" w:rsidP="00842469">
            <w:pPr>
              <w:numPr>
                <w:ilvl w:val="0"/>
                <w:numId w:val="25"/>
              </w:numPr>
              <w:spacing w:after="200" w:line="20" w:lineRule="atLeast"/>
              <w:ind w:left="142" w:hanging="142"/>
              <w:jc w:val="both"/>
              <w:rPr>
                <w:rFonts w:eastAsia="Calibri"/>
                <w:sz w:val="22"/>
                <w:szCs w:val="22"/>
                <w:lang w:eastAsia="en-US"/>
              </w:rPr>
            </w:pPr>
          </w:p>
        </w:tc>
        <w:tc>
          <w:tcPr>
            <w:tcW w:w="7654" w:type="dxa"/>
            <w:hideMark/>
          </w:tcPr>
          <w:p w:rsidR="00842469" w:rsidRPr="00842469" w:rsidRDefault="00842469" w:rsidP="00842469">
            <w:pPr>
              <w:spacing w:line="20" w:lineRule="atLeast"/>
              <w:jc w:val="both"/>
              <w:rPr>
                <w:rFonts w:eastAsia="Calibri"/>
                <w:sz w:val="22"/>
                <w:szCs w:val="22"/>
                <w:lang w:eastAsia="en-US"/>
              </w:rPr>
            </w:pPr>
            <w:r w:rsidRPr="00842469">
              <w:rPr>
                <w:rFonts w:eastAsia="Calibri"/>
                <w:sz w:val="22"/>
                <w:szCs w:val="22"/>
                <w:lang w:eastAsia="en-US"/>
              </w:rPr>
              <w:t>Цена на една минута разговор към всички национални фиксирани мрежи, след изчерпване на безплатни минути (за Тарифен план 1 и Тарифен план 2)</w:t>
            </w:r>
          </w:p>
        </w:tc>
        <w:tc>
          <w:tcPr>
            <w:tcW w:w="1701" w:type="dxa"/>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numPr>
                <w:ilvl w:val="0"/>
                <w:numId w:val="25"/>
              </w:numPr>
              <w:spacing w:after="200" w:line="20" w:lineRule="atLeast"/>
              <w:ind w:left="142" w:hanging="142"/>
              <w:contextualSpacing/>
              <w:jc w:val="both"/>
              <w:rPr>
                <w:rFonts w:eastAsia="Calibri"/>
                <w:sz w:val="22"/>
                <w:szCs w:val="22"/>
                <w:lang w:val="en-US" w:eastAsia="en-US"/>
              </w:rPr>
            </w:pPr>
          </w:p>
        </w:tc>
        <w:tc>
          <w:tcPr>
            <w:tcW w:w="7654" w:type="dxa"/>
            <w:tcBorders>
              <w:top w:val="single" w:sz="4" w:space="0" w:color="auto"/>
              <w:left w:val="single" w:sz="4" w:space="0" w:color="auto"/>
              <w:bottom w:val="single" w:sz="4" w:space="0" w:color="auto"/>
              <w:right w:val="single" w:sz="4" w:space="0" w:color="auto"/>
            </w:tcBorders>
            <w:hideMark/>
          </w:tcPr>
          <w:p w:rsidR="00842469" w:rsidRPr="00842469" w:rsidRDefault="00842469" w:rsidP="00842469">
            <w:pPr>
              <w:widowControl w:val="0"/>
              <w:autoSpaceDE w:val="0"/>
              <w:autoSpaceDN w:val="0"/>
              <w:adjustRightInd w:val="0"/>
              <w:spacing w:line="20" w:lineRule="atLeast"/>
              <w:jc w:val="both"/>
              <w:rPr>
                <w:rFonts w:eastAsia="Batang"/>
                <w:sz w:val="22"/>
                <w:szCs w:val="22"/>
              </w:rPr>
            </w:pPr>
            <w:r w:rsidRPr="00842469">
              <w:rPr>
                <w:rFonts w:eastAsia="Batang"/>
                <w:sz w:val="22"/>
                <w:szCs w:val="22"/>
              </w:rPr>
              <w:t>Цена за един SMS към всички национални мобилни мрежи</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firstLine="851"/>
              <w:jc w:val="both"/>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12</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lang w:eastAsia="en-US"/>
              </w:rPr>
            </w:pPr>
            <w:r w:rsidRPr="00842469">
              <w:rPr>
                <w:rFonts w:eastAsia="Calibri"/>
                <w:sz w:val="22"/>
                <w:szCs w:val="22"/>
                <w:lang w:eastAsia="en-US"/>
              </w:rPr>
              <w:t>Цена на минута изходящ разговор в режим “роуминг” от всички държави извън Европейския съюз</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13</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lang w:eastAsia="en-US"/>
              </w:rPr>
            </w:pPr>
            <w:r w:rsidRPr="00842469">
              <w:rPr>
                <w:rFonts w:eastAsia="Calibri"/>
                <w:sz w:val="22"/>
                <w:szCs w:val="22"/>
                <w:lang w:eastAsia="en-US"/>
              </w:rPr>
              <w:t>Цена на минута входящ разговор в режим “роуминг” във всички държави извън Европейския съюз за Тарифен план 1</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14</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lang w:eastAsia="en-US"/>
              </w:rPr>
            </w:pPr>
            <w:r w:rsidRPr="00842469">
              <w:rPr>
                <w:rFonts w:eastAsia="Calibri"/>
                <w:sz w:val="22"/>
                <w:szCs w:val="22"/>
                <w:lang w:eastAsia="en-US"/>
              </w:rPr>
              <w:t>Брой включени безплатни минути за разговори в роуминг за страни в ЕС за Тарифен план 1.</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15</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highlight w:val="yellow"/>
                <w:lang w:eastAsia="en-US"/>
              </w:rPr>
            </w:pPr>
            <w:r w:rsidRPr="00842469">
              <w:rPr>
                <w:rFonts w:eastAsia="Calibri"/>
                <w:sz w:val="22"/>
                <w:szCs w:val="22"/>
                <w:lang w:eastAsia="en-US"/>
              </w:rPr>
              <w:t>Процент търговска отстъпка от цената в търговската мрежа на участника при закупуване на мобилни апарати.</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16</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lang w:eastAsia="en-US"/>
              </w:rPr>
            </w:pPr>
            <w:r w:rsidRPr="00842469">
              <w:rPr>
                <w:rFonts w:eastAsia="Calibri"/>
                <w:sz w:val="22"/>
                <w:szCs w:val="22"/>
                <w:lang w:eastAsia="en-US"/>
              </w:rPr>
              <w:t>Цена за 1 МВ трафик мобилен интернет в режим “роуминг” от всички държави в Европейския съюз - за Тарифен план 1</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r w:rsidR="00842469" w:rsidRPr="00842469" w:rsidTr="00CF459E">
        <w:tc>
          <w:tcPr>
            <w:tcW w:w="392"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ind w:right="-108"/>
              <w:rPr>
                <w:rFonts w:eastAsia="Calibri"/>
                <w:sz w:val="22"/>
                <w:szCs w:val="22"/>
                <w:lang w:eastAsia="en-US"/>
              </w:rPr>
            </w:pPr>
            <w:r w:rsidRPr="00842469">
              <w:rPr>
                <w:rFonts w:eastAsia="Calibri"/>
                <w:sz w:val="22"/>
                <w:szCs w:val="22"/>
                <w:lang w:eastAsia="en-US"/>
              </w:rPr>
              <w:t>17</w:t>
            </w:r>
          </w:p>
        </w:tc>
        <w:tc>
          <w:tcPr>
            <w:tcW w:w="7654"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rPr>
                <w:rFonts w:eastAsia="Calibri"/>
                <w:sz w:val="22"/>
                <w:szCs w:val="22"/>
                <w:lang w:eastAsia="en-US"/>
              </w:rPr>
            </w:pPr>
            <w:r w:rsidRPr="00842469">
              <w:rPr>
                <w:rFonts w:eastAsia="Calibri"/>
                <w:sz w:val="22"/>
                <w:szCs w:val="22"/>
                <w:lang w:eastAsia="en-US"/>
              </w:rPr>
              <w:t>Цена за 1 МВ трафик мобилен интернет в режим “роуминг” от всички държави извън Европейския съюз - за Тарифен план 1</w:t>
            </w:r>
          </w:p>
        </w:tc>
        <w:tc>
          <w:tcPr>
            <w:tcW w:w="1701" w:type="dxa"/>
            <w:tcBorders>
              <w:top w:val="single" w:sz="4" w:space="0" w:color="auto"/>
              <w:left w:val="single" w:sz="4" w:space="0" w:color="auto"/>
              <w:bottom w:val="single" w:sz="4" w:space="0" w:color="auto"/>
              <w:right w:val="single" w:sz="4" w:space="0" w:color="auto"/>
            </w:tcBorders>
          </w:tcPr>
          <w:p w:rsidR="00842469" w:rsidRPr="00842469" w:rsidRDefault="00842469" w:rsidP="00842469">
            <w:pPr>
              <w:spacing w:line="20" w:lineRule="atLeast"/>
              <w:jc w:val="center"/>
              <w:rPr>
                <w:rFonts w:eastAsia="Calibri"/>
                <w:sz w:val="22"/>
                <w:szCs w:val="22"/>
                <w:lang w:eastAsia="en-US"/>
              </w:rPr>
            </w:pPr>
          </w:p>
        </w:tc>
      </w:tr>
    </w:tbl>
    <w:p w:rsidR="004F2D08" w:rsidRDefault="004F2D08" w:rsidP="005839A8">
      <w:pPr>
        <w:spacing w:line="360" w:lineRule="auto"/>
        <w:ind w:firstLine="360"/>
        <w:contextualSpacing/>
        <w:jc w:val="both"/>
        <w:rPr>
          <w:rFonts w:eastAsia="Calibri"/>
          <w:szCs w:val="24"/>
        </w:rPr>
      </w:pPr>
    </w:p>
    <w:p w:rsidR="004F2D08" w:rsidRPr="0054354F" w:rsidRDefault="004F2D08" w:rsidP="005839A8">
      <w:pPr>
        <w:spacing w:line="360" w:lineRule="auto"/>
        <w:ind w:firstLine="360"/>
        <w:contextualSpacing/>
        <w:jc w:val="both"/>
        <w:rPr>
          <w:rFonts w:eastAsia="Calibri"/>
          <w:bCs/>
          <w:iCs/>
          <w:szCs w:val="24"/>
        </w:rPr>
      </w:pP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lang w:val="ru-RU"/>
        </w:rPr>
        <w:t>Така предложената цена включва всички разходи за изпълнение предмета на поръчката.</w:t>
      </w: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u w:val="single"/>
          <w:lang w:val="ru-RU"/>
        </w:rPr>
        <w:t xml:space="preserve">Посочената цена </w:t>
      </w:r>
      <w:r w:rsidRPr="0054354F">
        <w:rPr>
          <w:rFonts w:eastAsia="Calibri"/>
          <w:b/>
          <w:szCs w:val="24"/>
          <w:u w:val="single"/>
          <w:lang w:val="ru-RU"/>
        </w:rPr>
        <w:t>не подлежи на промяна</w:t>
      </w:r>
      <w:r w:rsidRPr="0054354F">
        <w:rPr>
          <w:rFonts w:eastAsia="Calibri"/>
          <w:szCs w:val="24"/>
          <w:u w:val="single"/>
          <w:lang w:val="ru-RU"/>
        </w:rPr>
        <w:t xml:space="preserve"> през целия срок на действие на договора за изпълнение на поръчката</w:t>
      </w:r>
      <w:r w:rsidRPr="0054354F">
        <w:rPr>
          <w:rFonts w:eastAsia="Calibri"/>
          <w:szCs w:val="24"/>
          <w:lang w:val="ru-RU"/>
        </w:rPr>
        <w:t>.</w:t>
      </w:r>
    </w:p>
    <w:p w:rsidR="00DD4B1C" w:rsidRPr="0054354F" w:rsidRDefault="00DD4B1C" w:rsidP="005839A8">
      <w:pPr>
        <w:spacing w:line="360" w:lineRule="auto"/>
        <w:contextualSpacing/>
        <w:jc w:val="both"/>
        <w:rPr>
          <w:rFonts w:eastAsia="Calibri"/>
          <w:bCs/>
          <w:iCs/>
          <w:szCs w:val="24"/>
          <w:lang w:val="ru-RU"/>
        </w:rPr>
      </w:pPr>
      <w:r w:rsidRPr="0054354F">
        <w:rPr>
          <w:rFonts w:eastAsia="Calibri"/>
          <w:szCs w:val="24"/>
          <w:lang w:val="ru-RU"/>
        </w:rPr>
        <w:tab/>
        <w:t>Предложените цени са определени при пълно съответствие с условията от документацията по процедурата.</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t xml:space="preserve">Запознати сме с условията и начина на плащане </w:t>
      </w:r>
      <w:r w:rsidRPr="0054354F">
        <w:rPr>
          <w:rFonts w:eastAsia="Calibri"/>
          <w:szCs w:val="24"/>
        </w:rPr>
        <w:t>от утвърдената документация на Възложителя.</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r>
      <w:r w:rsidRPr="0054354F">
        <w:rPr>
          <w:rFonts w:eastAsia="Calibri"/>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w:t>
      </w:r>
      <w:r w:rsidR="002965B0">
        <w:rPr>
          <w:rFonts w:eastAsia="Calibri"/>
          <w:szCs w:val="24"/>
        </w:rPr>
        <w:t>нията по договора в размер на 3</w:t>
      </w:r>
      <w:r w:rsidRPr="0054354F">
        <w:rPr>
          <w:rFonts w:eastAsia="Calibri"/>
          <w:szCs w:val="24"/>
        </w:rPr>
        <w:t xml:space="preserve"> % от стойността му, без ДДС.</w:t>
      </w:r>
    </w:p>
    <w:p w:rsidR="00DD4B1C" w:rsidRDefault="00DD4B1C" w:rsidP="005839A8">
      <w:pPr>
        <w:spacing w:line="360" w:lineRule="auto"/>
        <w:contextualSpacing/>
        <w:jc w:val="both"/>
        <w:rPr>
          <w:rFonts w:eastAsia="Calibri"/>
          <w:bCs/>
          <w:iCs/>
          <w:szCs w:val="24"/>
        </w:rPr>
      </w:pPr>
    </w:p>
    <w:p w:rsidR="00943635" w:rsidRPr="0054354F" w:rsidRDefault="00943635" w:rsidP="005839A8">
      <w:pPr>
        <w:spacing w:line="360" w:lineRule="auto"/>
        <w:contextualSpacing/>
        <w:jc w:val="both"/>
        <w:rPr>
          <w:rFonts w:eastAsia="Calibri"/>
          <w:bCs/>
          <w:iCs/>
          <w:szCs w:val="24"/>
        </w:rPr>
      </w:pPr>
    </w:p>
    <w:p w:rsidR="004F2D08" w:rsidRDefault="004F2D08" w:rsidP="00C15B67">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sectPr w:rsidR="004F2D08" w:rsidSect="00B868E2">
      <w:footerReference w:type="default" r:id="rId8"/>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34" w:rsidRDefault="00556C34" w:rsidP="004E1B92">
      <w:r>
        <w:separator/>
      </w:r>
    </w:p>
  </w:endnote>
  <w:endnote w:type="continuationSeparator" w:id="0">
    <w:p w:rsidR="00556C34" w:rsidRDefault="00556C34"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9360"/>
      <w:docPartObj>
        <w:docPartGallery w:val="Page Numbers (Bottom of Page)"/>
        <w:docPartUnique/>
      </w:docPartObj>
    </w:sdtPr>
    <w:sdtEndPr>
      <w:rPr>
        <w:noProof/>
      </w:rPr>
    </w:sdtEndPr>
    <w:sdtContent>
      <w:p w:rsidR="00144031" w:rsidRDefault="00144031">
        <w:pPr>
          <w:pStyle w:val="Footer"/>
          <w:jc w:val="center"/>
        </w:pPr>
        <w:r>
          <w:fldChar w:fldCharType="begin"/>
        </w:r>
        <w:r>
          <w:instrText xml:space="preserve"> PAGE   \* MERGEFORMAT </w:instrText>
        </w:r>
        <w:r>
          <w:fldChar w:fldCharType="separate"/>
        </w:r>
        <w:r w:rsidR="008B46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34" w:rsidRDefault="00556C34" w:rsidP="004E1B92">
      <w:r>
        <w:separator/>
      </w:r>
    </w:p>
  </w:footnote>
  <w:footnote w:type="continuationSeparator" w:id="0">
    <w:p w:rsidR="00556C34" w:rsidRDefault="00556C34" w:rsidP="004E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494E14"/>
    <w:multiLevelType w:val="multilevel"/>
    <w:tmpl w:val="5BBCA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A567EF4"/>
    <w:multiLevelType w:val="hybridMultilevel"/>
    <w:tmpl w:val="78304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5F395FF0"/>
    <w:multiLevelType w:val="hybridMultilevel"/>
    <w:tmpl w:val="7918151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2877A19"/>
    <w:multiLevelType w:val="hybridMultilevel"/>
    <w:tmpl w:val="3F7257F4"/>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22" w15:restartNumberingAfterBreak="0">
    <w:nsid w:val="7BD459E8"/>
    <w:multiLevelType w:val="multilevel"/>
    <w:tmpl w:val="B31604BC"/>
    <w:lvl w:ilvl="0">
      <w:start w:val="4"/>
      <w:numFmt w:val="decimal"/>
      <w:lvlText w:val="%1."/>
      <w:lvlJc w:val="left"/>
      <w:pPr>
        <w:ind w:left="450" w:hanging="450"/>
      </w:pPr>
    </w:lvl>
    <w:lvl w:ilvl="1">
      <w:start w:val="1"/>
      <w:numFmt w:val="decimal"/>
      <w:lvlText w:val="%1.%2."/>
      <w:lvlJc w:val="left"/>
      <w:pPr>
        <w:ind w:left="1288"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1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2"/>
  </w:num>
  <w:num w:numId="7">
    <w:abstractNumId w:val="1"/>
  </w:num>
  <w:num w:numId="8">
    <w:abstractNumId w:val="15"/>
  </w:num>
  <w:num w:numId="9">
    <w:abstractNumId w:val="19"/>
  </w:num>
  <w:num w:numId="10">
    <w:abstractNumId w:val="5"/>
  </w:num>
  <w:num w:numId="11">
    <w:abstractNumId w:val="7"/>
  </w:num>
  <w:num w:numId="12">
    <w:abstractNumId w:val="6"/>
  </w:num>
  <w:num w:numId="13">
    <w:abstractNumId w:val="9"/>
  </w:num>
  <w:num w:numId="14">
    <w:abstractNumId w:val="3"/>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0"/>
    <w:lvlOverride w:ilvl="0">
      <w:lvl w:ilvl="0">
        <w:numFmt w:val="bullet"/>
        <w:lvlText w:val="-"/>
        <w:legacy w:legacy="1" w:legacySpace="0" w:legacyIndent="360"/>
        <w:lvlJc w:val="left"/>
        <w:pPr>
          <w:ind w:left="360" w:hanging="360"/>
        </w:p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21"/>
  </w:num>
  <w:num w:numId="22">
    <w:abstractNumId w:val="16"/>
  </w:num>
  <w:num w:numId="23">
    <w:abstractNumId w:val="14"/>
  </w:num>
  <w:num w:numId="24">
    <w:abstractNumId w:val="18"/>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2"/>
    <w:rsid w:val="00012294"/>
    <w:rsid w:val="0003035D"/>
    <w:rsid w:val="00030D5B"/>
    <w:rsid w:val="00040AC0"/>
    <w:rsid w:val="000870F9"/>
    <w:rsid w:val="00095D01"/>
    <w:rsid w:val="000B3F58"/>
    <w:rsid w:val="000C0817"/>
    <w:rsid w:val="000C398A"/>
    <w:rsid w:val="000C655E"/>
    <w:rsid w:val="000D7D4E"/>
    <w:rsid w:val="000F07CB"/>
    <w:rsid w:val="000F1615"/>
    <w:rsid w:val="00111923"/>
    <w:rsid w:val="00111A84"/>
    <w:rsid w:val="00112FCA"/>
    <w:rsid w:val="00120BF0"/>
    <w:rsid w:val="00122309"/>
    <w:rsid w:val="0012295C"/>
    <w:rsid w:val="00123D55"/>
    <w:rsid w:val="00144031"/>
    <w:rsid w:val="0015078C"/>
    <w:rsid w:val="001509CD"/>
    <w:rsid w:val="0015178B"/>
    <w:rsid w:val="00164520"/>
    <w:rsid w:val="00164E14"/>
    <w:rsid w:val="0017077E"/>
    <w:rsid w:val="0017126D"/>
    <w:rsid w:val="00181BDE"/>
    <w:rsid w:val="00187C4E"/>
    <w:rsid w:val="001905D5"/>
    <w:rsid w:val="001960E7"/>
    <w:rsid w:val="001A3ABB"/>
    <w:rsid w:val="001B0AFA"/>
    <w:rsid w:val="001B127B"/>
    <w:rsid w:val="001C0140"/>
    <w:rsid w:val="001D4091"/>
    <w:rsid w:val="001D4360"/>
    <w:rsid w:val="001D7A58"/>
    <w:rsid w:val="001E4841"/>
    <w:rsid w:val="00213643"/>
    <w:rsid w:val="00250600"/>
    <w:rsid w:val="00263551"/>
    <w:rsid w:val="00272FD1"/>
    <w:rsid w:val="00274004"/>
    <w:rsid w:val="00291F0C"/>
    <w:rsid w:val="002965B0"/>
    <w:rsid w:val="002B7A39"/>
    <w:rsid w:val="002D2A73"/>
    <w:rsid w:val="002D3D69"/>
    <w:rsid w:val="002D4E68"/>
    <w:rsid w:val="002F1C26"/>
    <w:rsid w:val="00311EDB"/>
    <w:rsid w:val="003246FE"/>
    <w:rsid w:val="00332339"/>
    <w:rsid w:val="00340C0D"/>
    <w:rsid w:val="00345894"/>
    <w:rsid w:val="003676B3"/>
    <w:rsid w:val="00373BE5"/>
    <w:rsid w:val="003852AB"/>
    <w:rsid w:val="003A3B8D"/>
    <w:rsid w:val="003A50C9"/>
    <w:rsid w:val="003B2417"/>
    <w:rsid w:val="003E141C"/>
    <w:rsid w:val="003E4CC3"/>
    <w:rsid w:val="003F64B8"/>
    <w:rsid w:val="00400384"/>
    <w:rsid w:val="004075D9"/>
    <w:rsid w:val="00415B10"/>
    <w:rsid w:val="0042520B"/>
    <w:rsid w:val="0044531C"/>
    <w:rsid w:val="00446626"/>
    <w:rsid w:val="00465901"/>
    <w:rsid w:val="00465A9D"/>
    <w:rsid w:val="00473A46"/>
    <w:rsid w:val="004805C1"/>
    <w:rsid w:val="0048523F"/>
    <w:rsid w:val="004858EF"/>
    <w:rsid w:val="00494FEE"/>
    <w:rsid w:val="004A1B71"/>
    <w:rsid w:val="004B5296"/>
    <w:rsid w:val="004B61A0"/>
    <w:rsid w:val="004E1B92"/>
    <w:rsid w:val="004E2EF6"/>
    <w:rsid w:val="004F28BF"/>
    <w:rsid w:val="004F2D08"/>
    <w:rsid w:val="004F55D6"/>
    <w:rsid w:val="00507783"/>
    <w:rsid w:val="0051602C"/>
    <w:rsid w:val="005172EE"/>
    <w:rsid w:val="005256A3"/>
    <w:rsid w:val="00533F67"/>
    <w:rsid w:val="005422BB"/>
    <w:rsid w:val="00545CF1"/>
    <w:rsid w:val="00547AA7"/>
    <w:rsid w:val="00556C34"/>
    <w:rsid w:val="00575901"/>
    <w:rsid w:val="00580D9D"/>
    <w:rsid w:val="005839A8"/>
    <w:rsid w:val="005A0D22"/>
    <w:rsid w:val="005A384C"/>
    <w:rsid w:val="005B08DC"/>
    <w:rsid w:val="005C22AD"/>
    <w:rsid w:val="005D1346"/>
    <w:rsid w:val="005D202E"/>
    <w:rsid w:val="005D3963"/>
    <w:rsid w:val="005E000C"/>
    <w:rsid w:val="005E298C"/>
    <w:rsid w:val="005E48D2"/>
    <w:rsid w:val="005F2D5F"/>
    <w:rsid w:val="005F4668"/>
    <w:rsid w:val="00604858"/>
    <w:rsid w:val="006251DB"/>
    <w:rsid w:val="00625573"/>
    <w:rsid w:val="00626D82"/>
    <w:rsid w:val="00630F33"/>
    <w:rsid w:val="00643077"/>
    <w:rsid w:val="00647CC4"/>
    <w:rsid w:val="0066205A"/>
    <w:rsid w:val="0067558F"/>
    <w:rsid w:val="00696EED"/>
    <w:rsid w:val="006B5AC3"/>
    <w:rsid w:val="006C4BF1"/>
    <w:rsid w:val="006C6E4E"/>
    <w:rsid w:val="006F2587"/>
    <w:rsid w:val="007037D7"/>
    <w:rsid w:val="007071C2"/>
    <w:rsid w:val="007076F6"/>
    <w:rsid w:val="00717314"/>
    <w:rsid w:val="00742718"/>
    <w:rsid w:val="0074377C"/>
    <w:rsid w:val="00762712"/>
    <w:rsid w:val="007641F7"/>
    <w:rsid w:val="00765624"/>
    <w:rsid w:val="00794D24"/>
    <w:rsid w:val="007A3DB7"/>
    <w:rsid w:val="0081212B"/>
    <w:rsid w:val="00816613"/>
    <w:rsid w:val="00826626"/>
    <w:rsid w:val="00842469"/>
    <w:rsid w:val="00853FAB"/>
    <w:rsid w:val="00854A1A"/>
    <w:rsid w:val="008626F6"/>
    <w:rsid w:val="00874B1C"/>
    <w:rsid w:val="008764DA"/>
    <w:rsid w:val="008809A4"/>
    <w:rsid w:val="008849E6"/>
    <w:rsid w:val="008A0C40"/>
    <w:rsid w:val="008A0C70"/>
    <w:rsid w:val="008A21AF"/>
    <w:rsid w:val="008A229D"/>
    <w:rsid w:val="008A3908"/>
    <w:rsid w:val="008A6BD8"/>
    <w:rsid w:val="008B371E"/>
    <w:rsid w:val="008B43D5"/>
    <w:rsid w:val="008B4693"/>
    <w:rsid w:val="008B4ABF"/>
    <w:rsid w:val="008C1C3B"/>
    <w:rsid w:val="008D0FB1"/>
    <w:rsid w:val="008D0FED"/>
    <w:rsid w:val="009041B7"/>
    <w:rsid w:val="00905AD2"/>
    <w:rsid w:val="009165BB"/>
    <w:rsid w:val="009236B2"/>
    <w:rsid w:val="0093280C"/>
    <w:rsid w:val="00932D19"/>
    <w:rsid w:val="00932D96"/>
    <w:rsid w:val="00934306"/>
    <w:rsid w:val="00934C22"/>
    <w:rsid w:val="00943635"/>
    <w:rsid w:val="009466DA"/>
    <w:rsid w:val="00946A98"/>
    <w:rsid w:val="00965D28"/>
    <w:rsid w:val="009756CF"/>
    <w:rsid w:val="00990568"/>
    <w:rsid w:val="009A6C65"/>
    <w:rsid w:val="009C3559"/>
    <w:rsid w:val="009C447D"/>
    <w:rsid w:val="009C53FC"/>
    <w:rsid w:val="009D02FA"/>
    <w:rsid w:val="009D0526"/>
    <w:rsid w:val="009E7898"/>
    <w:rsid w:val="009E7C7F"/>
    <w:rsid w:val="00A00416"/>
    <w:rsid w:val="00A22A99"/>
    <w:rsid w:val="00A346C9"/>
    <w:rsid w:val="00A53BED"/>
    <w:rsid w:val="00A61862"/>
    <w:rsid w:val="00A61AE1"/>
    <w:rsid w:val="00A62AAA"/>
    <w:rsid w:val="00A64264"/>
    <w:rsid w:val="00A80EEA"/>
    <w:rsid w:val="00A91B41"/>
    <w:rsid w:val="00A97277"/>
    <w:rsid w:val="00AA54D9"/>
    <w:rsid w:val="00AC1AB9"/>
    <w:rsid w:val="00AC1E2B"/>
    <w:rsid w:val="00AE0881"/>
    <w:rsid w:val="00AE25F0"/>
    <w:rsid w:val="00AE685B"/>
    <w:rsid w:val="00AF19E9"/>
    <w:rsid w:val="00B00325"/>
    <w:rsid w:val="00B00A90"/>
    <w:rsid w:val="00B03E71"/>
    <w:rsid w:val="00B05E36"/>
    <w:rsid w:val="00B10FFB"/>
    <w:rsid w:val="00B1725E"/>
    <w:rsid w:val="00B24283"/>
    <w:rsid w:val="00B26BFA"/>
    <w:rsid w:val="00B40BF6"/>
    <w:rsid w:val="00B56F68"/>
    <w:rsid w:val="00B63FC1"/>
    <w:rsid w:val="00B735BE"/>
    <w:rsid w:val="00B777A7"/>
    <w:rsid w:val="00B81B50"/>
    <w:rsid w:val="00B8544E"/>
    <w:rsid w:val="00B857F6"/>
    <w:rsid w:val="00B868E2"/>
    <w:rsid w:val="00B91629"/>
    <w:rsid w:val="00BB46EC"/>
    <w:rsid w:val="00BD57D9"/>
    <w:rsid w:val="00BE1DB6"/>
    <w:rsid w:val="00C12187"/>
    <w:rsid w:val="00C1291F"/>
    <w:rsid w:val="00C13019"/>
    <w:rsid w:val="00C14086"/>
    <w:rsid w:val="00C15B67"/>
    <w:rsid w:val="00C20FF0"/>
    <w:rsid w:val="00C35CFD"/>
    <w:rsid w:val="00C37A36"/>
    <w:rsid w:val="00C41347"/>
    <w:rsid w:val="00C45FF8"/>
    <w:rsid w:val="00C47282"/>
    <w:rsid w:val="00C47D74"/>
    <w:rsid w:val="00C50F85"/>
    <w:rsid w:val="00C56BAB"/>
    <w:rsid w:val="00C57DD0"/>
    <w:rsid w:val="00C72D2A"/>
    <w:rsid w:val="00C76B26"/>
    <w:rsid w:val="00C91063"/>
    <w:rsid w:val="00C914A4"/>
    <w:rsid w:val="00CA3A08"/>
    <w:rsid w:val="00CA6413"/>
    <w:rsid w:val="00CA6CB9"/>
    <w:rsid w:val="00CC499F"/>
    <w:rsid w:val="00CC5B33"/>
    <w:rsid w:val="00CD7A13"/>
    <w:rsid w:val="00CE32DB"/>
    <w:rsid w:val="00CE7DB8"/>
    <w:rsid w:val="00CF3CE5"/>
    <w:rsid w:val="00CF6287"/>
    <w:rsid w:val="00D1100D"/>
    <w:rsid w:val="00D131B5"/>
    <w:rsid w:val="00D150A2"/>
    <w:rsid w:val="00D171B7"/>
    <w:rsid w:val="00D526DA"/>
    <w:rsid w:val="00D60EA5"/>
    <w:rsid w:val="00D623F7"/>
    <w:rsid w:val="00D8048C"/>
    <w:rsid w:val="00D91342"/>
    <w:rsid w:val="00D94B48"/>
    <w:rsid w:val="00DA33FF"/>
    <w:rsid w:val="00DA5906"/>
    <w:rsid w:val="00DA6752"/>
    <w:rsid w:val="00DB7891"/>
    <w:rsid w:val="00DC6904"/>
    <w:rsid w:val="00DD05A2"/>
    <w:rsid w:val="00DD4B1C"/>
    <w:rsid w:val="00DE44BB"/>
    <w:rsid w:val="00DE6433"/>
    <w:rsid w:val="00DF5EA3"/>
    <w:rsid w:val="00DF7784"/>
    <w:rsid w:val="00E100AA"/>
    <w:rsid w:val="00E13EA5"/>
    <w:rsid w:val="00E3040F"/>
    <w:rsid w:val="00E30DDC"/>
    <w:rsid w:val="00E30F1B"/>
    <w:rsid w:val="00E357CA"/>
    <w:rsid w:val="00E362AB"/>
    <w:rsid w:val="00E514F8"/>
    <w:rsid w:val="00E703F1"/>
    <w:rsid w:val="00E7663D"/>
    <w:rsid w:val="00E84EE3"/>
    <w:rsid w:val="00E85404"/>
    <w:rsid w:val="00E87223"/>
    <w:rsid w:val="00E920C0"/>
    <w:rsid w:val="00E93618"/>
    <w:rsid w:val="00EB2DCE"/>
    <w:rsid w:val="00ED2F22"/>
    <w:rsid w:val="00ED4CFD"/>
    <w:rsid w:val="00F028F5"/>
    <w:rsid w:val="00F067FD"/>
    <w:rsid w:val="00F13373"/>
    <w:rsid w:val="00F1375F"/>
    <w:rsid w:val="00F1378C"/>
    <w:rsid w:val="00F27D13"/>
    <w:rsid w:val="00F52762"/>
    <w:rsid w:val="00F711B0"/>
    <w:rsid w:val="00F8217C"/>
    <w:rsid w:val="00F86A73"/>
    <w:rsid w:val="00F87DAF"/>
    <w:rsid w:val="00FA4F3E"/>
    <w:rsid w:val="00FA565D"/>
    <w:rsid w:val="00FA64F5"/>
    <w:rsid w:val="00FB0FFE"/>
    <w:rsid w:val="00FB4D8C"/>
    <w:rsid w:val="00FD3A7F"/>
    <w:rsid w:val="00FD6D9A"/>
    <w:rsid w:val="00FE47AB"/>
    <w:rsid w:val="00FF086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CD1A8-4B38-4D6C-9AC2-FE6BDF2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B9"/>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438C-8C5B-46F0-8B8E-8222422B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20</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Vanya Mitkova</cp:lastModifiedBy>
  <cp:revision>218</cp:revision>
  <cp:lastPrinted>2017-04-11T14:37:00Z</cp:lastPrinted>
  <dcterms:created xsi:type="dcterms:W3CDTF">2016-07-25T08:36:00Z</dcterms:created>
  <dcterms:modified xsi:type="dcterms:W3CDTF">2017-04-12T09:07:00Z</dcterms:modified>
</cp:coreProperties>
</file>